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99A" w:rsidRDefault="00BD699A" w:rsidP="005925BF">
      <w:pPr>
        <w:rPr>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6E7C27" w:rsidRDefault="006E7C27" w:rsidP="009D654A">
      <w:pPr>
        <w:pStyle w:val="Nzev"/>
        <w:rPr>
          <w:color w:val="FFFFFF" w:themeColor="background1"/>
          <w:sz w:val="40"/>
          <w:szCs w:val="40"/>
          <w:lang w:val="en-US"/>
        </w:rPr>
      </w:pPr>
    </w:p>
    <w:p w:rsidR="00F11B4F" w:rsidRPr="00850CD3" w:rsidRDefault="009D654A" w:rsidP="009D654A">
      <w:pPr>
        <w:pStyle w:val="Nzev"/>
        <w:rPr>
          <w:color w:val="FFFFFF" w:themeColor="background1"/>
          <w:sz w:val="56"/>
          <w:szCs w:val="56"/>
          <w:lang w:val="en-US"/>
        </w:rPr>
      </w:pPr>
      <w:proofErr w:type="spellStart"/>
      <w:r w:rsidRPr="00850CD3">
        <w:rPr>
          <w:color w:val="FFFFFF" w:themeColor="background1"/>
          <w:sz w:val="56"/>
          <w:szCs w:val="56"/>
          <w:lang w:val="en-US"/>
        </w:rPr>
        <w:t>Právo</w:t>
      </w:r>
      <w:proofErr w:type="spellEnd"/>
      <w:r w:rsidRPr="00850CD3">
        <w:rPr>
          <w:color w:val="FFFFFF" w:themeColor="background1"/>
          <w:sz w:val="56"/>
          <w:szCs w:val="56"/>
          <w:lang w:val="en-US"/>
        </w:rPr>
        <w:t xml:space="preserve"> </w:t>
      </w:r>
      <w:proofErr w:type="spellStart"/>
      <w:proofErr w:type="gramStart"/>
      <w:r w:rsidR="00F11B4F" w:rsidRPr="00850CD3">
        <w:rPr>
          <w:color w:val="FFFFFF" w:themeColor="background1"/>
          <w:sz w:val="56"/>
          <w:szCs w:val="56"/>
          <w:lang w:val="en-US"/>
        </w:rPr>
        <w:t>na</w:t>
      </w:r>
      <w:proofErr w:type="spellEnd"/>
      <w:proofErr w:type="gramEnd"/>
      <w:r w:rsidR="00F11B4F" w:rsidRPr="00850CD3">
        <w:rPr>
          <w:color w:val="FFFFFF" w:themeColor="background1"/>
          <w:sz w:val="56"/>
          <w:szCs w:val="56"/>
          <w:lang w:val="en-US"/>
        </w:rPr>
        <w:t xml:space="preserve"> </w:t>
      </w:r>
      <w:proofErr w:type="spellStart"/>
      <w:r w:rsidR="00F11B4F" w:rsidRPr="00850CD3">
        <w:rPr>
          <w:color w:val="FFFFFF" w:themeColor="background1"/>
          <w:sz w:val="56"/>
          <w:szCs w:val="56"/>
          <w:lang w:val="en-US"/>
        </w:rPr>
        <w:t>informace</w:t>
      </w:r>
      <w:proofErr w:type="spellEnd"/>
    </w:p>
    <w:p w:rsidR="009D654A" w:rsidRPr="00015FCC" w:rsidRDefault="009730F4" w:rsidP="009D654A">
      <w:pPr>
        <w:pStyle w:val="Nzev"/>
        <w:rPr>
          <w:color w:val="FFFFFF" w:themeColor="background1"/>
          <w:sz w:val="56"/>
          <w:szCs w:val="56"/>
          <w:lang w:val="en-US"/>
        </w:rPr>
      </w:pPr>
      <w:proofErr w:type="spellStart"/>
      <w:r>
        <w:rPr>
          <w:sz w:val="56"/>
          <w:szCs w:val="56"/>
          <w:lang w:val="en-US"/>
        </w:rPr>
        <w:t>Ústavní</w:t>
      </w:r>
      <w:proofErr w:type="spellEnd"/>
      <w:r>
        <w:rPr>
          <w:sz w:val="56"/>
          <w:szCs w:val="56"/>
          <w:lang w:val="en-US"/>
        </w:rPr>
        <w:t xml:space="preserve"> </w:t>
      </w:r>
      <w:proofErr w:type="spellStart"/>
      <w:r>
        <w:rPr>
          <w:sz w:val="56"/>
          <w:szCs w:val="56"/>
          <w:lang w:val="en-US"/>
        </w:rPr>
        <w:t>soud</w:t>
      </w:r>
      <w:proofErr w:type="spellEnd"/>
      <w:r>
        <w:rPr>
          <w:sz w:val="56"/>
          <w:szCs w:val="56"/>
          <w:lang w:val="en-US"/>
        </w:rPr>
        <w:t xml:space="preserve"> </w:t>
      </w:r>
      <w:proofErr w:type="spellStart"/>
      <w:r>
        <w:rPr>
          <w:sz w:val="56"/>
          <w:szCs w:val="56"/>
          <w:lang w:val="en-US"/>
        </w:rPr>
        <w:t>odmítl</w:t>
      </w:r>
      <w:proofErr w:type="spellEnd"/>
      <w:r>
        <w:rPr>
          <w:sz w:val="56"/>
          <w:szCs w:val="56"/>
          <w:lang w:val="en-US"/>
        </w:rPr>
        <w:t xml:space="preserve"> </w:t>
      </w:r>
      <w:proofErr w:type="spellStart"/>
      <w:r>
        <w:rPr>
          <w:sz w:val="56"/>
          <w:szCs w:val="56"/>
          <w:lang w:val="en-US"/>
        </w:rPr>
        <w:t>kreativitu</w:t>
      </w:r>
      <w:proofErr w:type="spellEnd"/>
      <w:r>
        <w:rPr>
          <w:sz w:val="56"/>
          <w:szCs w:val="56"/>
          <w:lang w:val="en-US"/>
        </w:rPr>
        <w:t xml:space="preserve"> NSS </w:t>
      </w:r>
      <w:proofErr w:type="spellStart"/>
      <w:r>
        <w:rPr>
          <w:sz w:val="56"/>
          <w:szCs w:val="56"/>
          <w:lang w:val="en-US"/>
        </w:rPr>
        <w:t>omezující</w:t>
      </w:r>
      <w:proofErr w:type="spellEnd"/>
      <w:r>
        <w:rPr>
          <w:sz w:val="56"/>
          <w:szCs w:val="56"/>
          <w:lang w:val="en-US"/>
        </w:rPr>
        <w:t xml:space="preserve"> </w:t>
      </w:r>
      <w:proofErr w:type="spellStart"/>
      <w:r>
        <w:rPr>
          <w:sz w:val="56"/>
          <w:szCs w:val="56"/>
          <w:lang w:val="en-US"/>
        </w:rPr>
        <w:t>přístup</w:t>
      </w:r>
      <w:proofErr w:type="spellEnd"/>
      <w:r>
        <w:rPr>
          <w:sz w:val="56"/>
          <w:szCs w:val="56"/>
          <w:lang w:val="en-US"/>
        </w:rPr>
        <w:t xml:space="preserve"> k </w:t>
      </w:r>
      <w:proofErr w:type="spellStart"/>
      <w:r>
        <w:rPr>
          <w:sz w:val="56"/>
          <w:szCs w:val="56"/>
          <w:lang w:val="en-US"/>
        </w:rPr>
        <w:t>informacím</w:t>
      </w:r>
      <w:proofErr w:type="spellEnd"/>
    </w:p>
    <w:p w:rsidR="004561D6" w:rsidRPr="00015FCC" w:rsidRDefault="004561D6" w:rsidP="004561D6">
      <w:pPr>
        <w:rPr>
          <w:sz w:val="56"/>
          <w:szCs w:val="56"/>
          <w:lang w:val="en-US"/>
        </w:rPr>
      </w:pPr>
    </w:p>
    <w:p w:rsidR="009D654A" w:rsidRDefault="009D654A" w:rsidP="009D654A">
      <w:pPr>
        <w:rPr>
          <w:lang w:val="en-US"/>
        </w:rPr>
      </w:pPr>
    </w:p>
    <w:p w:rsidR="009D654A" w:rsidRDefault="005336CA" w:rsidP="009D654A">
      <w:pPr>
        <w:rPr>
          <w:lang w:val="en-US"/>
        </w:rPr>
      </w:pPr>
      <w:r>
        <w:rPr>
          <w:lang w:val="en-US"/>
        </w:rPr>
        <w:t xml:space="preserve"> </w:t>
      </w:r>
    </w:p>
    <w:p w:rsidR="009D654A" w:rsidRDefault="009D654A" w:rsidP="009D654A">
      <w:pPr>
        <w:rPr>
          <w:lang w:val="en-US"/>
        </w:rPr>
      </w:pPr>
    </w:p>
    <w:p w:rsidR="009D654A" w:rsidRDefault="009D654A" w:rsidP="009D654A">
      <w:pPr>
        <w:rPr>
          <w:lang w:val="en-US"/>
        </w:rPr>
      </w:pPr>
    </w:p>
    <w:p w:rsidR="009D654A" w:rsidRDefault="009730F4" w:rsidP="00057380">
      <w:pPr>
        <w:pStyle w:val="Podtitul"/>
        <w:rPr>
          <w:lang w:val="en-US"/>
        </w:rPr>
      </w:pPr>
      <w:r>
        <w:t xml:space="preserve">Ústavní soud rozhodl, že v pochybnostech o výkladu zákona má mít přístup k informacím vždy přednost před jejich odepřením. Vyslovil tím jakousi </w:t>
      </w:r>
      <w:r w:rsidRPr="00856905">
        <w:rPr>
          <w:b/>
        </w:rPr>
        <w:t>presumpci otevřenosti veřejné správy</w:t>
      </w:r>
      <w:r>
        <w:t>.</w:t>
      </w:r>
    </w:p>
    <w:p w:rsidR="000C099C" w:rsidRPr="000C099C" w:rsidRDefault="000C099C" w:rsidP="000C099C">
      <w:pPr>
        <w:rPr>
          <w:lang w:val="en-US"/>
        </w:rPr>
      </w:pPr>
    </w:p>
    <w:p w:rsidR="00AC1D40" w:rsidRPr="005652CB" w:rsidRDefault="009730F4" w:rsidP="00AC1D40">
      <w:pPr>
        <w:pStyle w:val="Nadpis1"/>
        <w:rPr>
          <w:sz w:val="48"/>
          <w:szCs w:val="48"/>
          <w:lang w:val="en-US"/>
        </w:rPr>
      </w:pPr>
      <w:r>
        <w:rPr>
          <w:sz w:val="48"/>
          <w:szCs w:val="48"/>
          <w:lang w:val="en-US"/>
        </w:rPr>
        <w:lastRenderedPageBreak/>
        <w:t xml:space="preserve">V </w:t>
      </w:r>
      <w:proofErr w:type="spellStart"/>
      <w:r>
        <w:rPr>
          <w:sz w:val="48"/>
          <w:szCs w:val="48"/>
          <w:lang w:val="en-US"/>
        </w:rPr>
        <w:t>případě</w:t>
      </w:r>
      <w:proofErr w:type="spellEnd"/>
      <w:r>
        <w:rPr>
          <w:sz w:val="48"/>
          <w:szCs w:val="48"/>
          <w:lang w:val="en-US"/>
        </w:rPr>
        <w:t xml:space="preserve"> </w:t>
      </w:r>
      <w:proofErr w:type="spellStart"/>
      <w:r>
        <w:rPr>
          <w:sz w:val="48"/>
          <w:szCs w:val="48"/>
          <w:lang w:val="en-US"/>
        </w:rPr>
        <w:t>pochybnosti</w:t>
      </w:r>
      <w:proofErr w:type="spellEnd"/>
      <w:r>
        <w:rPr>
          <w:sz w:val="48"/>
          <w:szCs w:val="48"/>
          <w:lang w:val="en-US"/>
        </w:rPr>
        <w:t xml:space="preserve"> </w:t>
      </w:r>
      <w:proofErr w:type="spellStart"/>
      <w:r>
        <w:rPr>
          <w:sz w:val="48"/>
          <w:szCs w:val="48"/>
          <w:lang w:val="en-US"/>
        </w:rPr>
        <w:t>poskytnout</w:t>
      </w:r>
      <w:proofErr w:type="spellEnd"/>
      <w:r>
        <w:rPr>
          <w:sz w:val="48"/>
          <w:szCs w:val="48"/>
          <w:lang w:val="en-US"/>
        </w:rPr>
        <w:t>!</w:t>
      </w:r>
    </w:p>
    <w:p w:rsidR="004A6A96" w:rsidRPr="008F5A4B" w:rsidRDefault="00EB19EF" w:rsidP="00C86A14">
      <w:pPr>
        <w:pStyle w:val="Normlnweb"/>
        <w:shd w:val="clear" w:color="auto" w:fill="FFFFFF"/>
        <w:spacing w:before="0" w:beforeAutospacing="0" w:after="206" w:afterAutospacing="0" w:line="360" w:lineRule="auto"/>
        <w:ind w:left="57" w:right="57"/>
        <w:rPr>
          <w:rFonts w:asciiTheme="minorHAnsi" w:hAnsiTheme="minorHAnsi"/>
          <w:b/>
          <w:color w:val="CDA41C" w:themeColor="accent1" w:themeShade="BF"/>
          <w:sz w:val="28"/>
          <w:szCs w:val="28"/>
        </w:rPr>
      </w:pPr>
      <w:r>
        <w:rPr>
          <w:rFonts w:asciiTheme="minorHAnsi" w:hAnsiTheme="minorHAnsi"/>
          <w:b/>
          <w:color w:val="000000"/>
          <w:sz w:val="28"/>
          <w:szCs w:val="28"/>
        </w:rPr>
        <w:t xml:space="preserve"> </w:t>
      </w:r>
    </w:p>
    <w:p w:rsidR="009730F4" w:rsidRDefault="009730F4" w:rsidP="009730F4">
      <w:pPr>
        <w:jc w:val="both"/>
      </w:pPr>
      <w:r>
        <w:t xml:space="preserve">Předpoklad otevřenosti je přirozeným požadavkem občanů vůči státu. Jde o kultivaci demokracie. Postupně odumírá prastarý návyk státu a jeho úřednictva včetně územní samosprávy na staletí panující princip důvěrnosti či diskrétnosti, tedy že „co je v </w:t>
      </w:r>
      <w:proofErr w:type="spellStart"/>
      <w:r>
        <w:t>ouřadě</w:t>
      </w:r>
      <w:proofErr w:type="spellEnd"/>
      <w:r>
        <w:t xml:space="preserve">, je naše“, tedy důvěrné, ne-li dokonce tajné. Československo v roce 1991 přešlo na opačný princip – princip otevřenosti neboli publicity veřejné správy. Od té doby probíhá v úřadech ale i soudech přerod a někdy dost bolestivý porod. Na jedné straně všichni přikyvují, jak ta transparentnost je potřebná a že nemají co skrývat. A mnoho starostů, úředníků, funkcionářů si to opravdu myslí a dělají pro otevřenost, co se dá. Ale mnohé úřady a další povinné subjekty se pokoušejí překrucovat zákon o svobodě informací tak, aby se v konkrétních případech znemožnilo jejich poskytnutí žadatelům. Někdy je to zlý úmysl a zášť vůči žadateli, často jde také ale o prostou setrvačnost. „Tohle že bychom měli někomu </w:t>
      </w:r>
      <w:r w:rsidRPr="0021390C">
        <w:rPr>
          <w:b/>
        </w:rPr>
        <w:t>prozradit</w:t>
      </w:r>
      <w:r>
        <w:t xml:space="preserve">?“ Zhroutil by se totiž pocit nadřazenosti a byla by ohrožena všemohoucnost, s níž úřady často prosazují své názory, či názory některých svých úředníků. Téměř neznám ustanovení </w:t>
      </w:r>
      <w:proofErr w:type="spellStart"/>
      <w:r>
        <w:t>Infozákona</w:t>
      </w:r>
      <w:proofErr w:type="spellEnd"/>
      <w:r>
        <w:t>, nad kterým by již nedošlo k nějakému divokému obstrukčnímu tanečku s neuvěřitelnými, často až křečovitě bájnými tanečními figurami, k nějakému účelovému převyprávění, co že s tím vlastně myslí, a kupodivu velmi často zrovna tak, že žadatel má smůlu.</w:t>
      </w:r>
    </w:p>
    <w:p w:rsidR="00BD6044" w:rsidRPr="009730F4" w:rsidRDefault="009730F4" w:rsidP="009730F4">
      <w:pPr>
        <w:jc w:val="both"/>
      </w:pPr>
      <w:r>
        <w:t xml:space="preserve">Ústavní soud </w:t>
      </w:r>
      <w:r w:rsidR="009A22E8">
        <w:t xml:space="preserve">nyní </w:t>
      </w:r>
      <w:r>
        <w:t xml:space="preserve">vyslovil, co viselo ve vzduchu již delší dobu – že při výkladu práva na informace se v pochybnosti o výkladu má úřad i soud vždy přiklonit </w:t>
      </w:r>
      <w:r>
        <w:lastRenderedPageBreak/>
        <w:t>k tomu, aby pokud možno informace byla poskytnuta.</w:t>
      </w:r>
      <w:r w:rsidR="009A22E8">
        <w:t xml:space="preserve"> Následující text je komentářem k Nálezu I. ÚS 3930/14, který si můžete stáhnout </w:t>
      </w:r>
      <w:hyperlink r:id="rId8" w:history="1">
        <w:r w:rsidR="009A22E8" w:rsidRPr="009A22E8">
          <w:rPr>
            <w:rStyle w:val="Hypertextovodkaz"/>
          </w:rPr>
          <w:t>zde</w:t>
        </w:r>
      </w:hyperlink>
      <w:r w:rsidR="009A22E8">
        <w:t xml:space="preserve">. </w:t>
      </w:r>
    </w:p>
    <w:p w:rsidR="004E0D67" w:rsidRDefault="009730F4" w:rsidP="004E0D67">
      <w:pPr>
        <w:pStyle w:val="Nadpis2"/>
        <w:rPr>
          <w:lang w:val="en-US"/>
        </w:rPr>
      </w:pPr>
      <w:r>
        <w:rPr>
          <w:lang w:val="en-US"/>
        </w:rPr>
        <w:t>(Ne</w:t>
      </w:r>
      <w:proofErr w:type="gramStart"/>
      <w:r>
        <w:rPr>
          <w:lang w:val="en-US"/>
        </w:rPr>
        <w:t>)</w:t>
      </w:r>
      <w:proofErr w:type="spellStart"/>
      <w:r>
        <w:rPr>
          <w:lang w:val="en-US"/>
        </w:rPr>
        <w:t>významnost</w:t>
      </w:r>
      <w:proofErr w:type="spellEnd"/>
      <w:proofErr w:type="gramEnd"/>
      <w:r>
        <w:rPr>
          <w:lang w:val="en-US"/>
        </w:rPr>
        <w:t xml:space="preserve"> </w:t>
      </w:r>
      <w:proofErr w:type="spellStart"/>
      <w:r>
        <w:rPr>
          <w:lang w:val="en-US"/>
        </w:rPr>
        <w:t>nálezu</w:t>
      </w:r>
      <w:proofErr w:type="spellEnd"/>
    </w:p>
    <w:p w:rsidR="009730F4" w:rsidRDefault="009730F4" w:rsidP="009730F4">
      <w:pPr>
        <w:jc w:val="both"/>
      </w:pPr>
      <w:r>
        <w:t xml:space="preserve">Mimo konkrétní případ, v němž k tomuto rozhodnutí Ústavní soud dospěl, nebude mít ale nález přílišný dopad. Uplatnit obecně pojatý princip, byť je zcela správný a zřetelný, totiž nebude snadné. Nález nedává k disposici jednoznačné nástroje, kterými by bylo možné se řídit v jiných, více či méně srovnatelných případech. Navíc v daném případě šlo o situaci, kterou můžeme vystihnout takto: „povinný subjekt by informaci vydal, ale procesně nemůže“. Takových situací je však naprosté minimum, převládají situace typu „povinný subjekt informaci vydat nechce“ anebo „povinný subjekt by informaci vydal, ale hmotně právně nemůže“. V takových případech by ÚS asi takovou odvahu nadřadit právo na informace nad důvody jeho odepírání už nenašel. Musel by právo na rychlé poskytnutí informace nadřadit například nad kasační princip správního řízení. Ten je častou příčinou, proč je přístup k informacím prakticky znemožněný, protože nadřízenému orgánu neumožňuje podřízenému nařídit informaci poskytnout. Musel by kasační princip v oblasti práva na informace označit za „haraburdí“, neodpovídající principům informačního práva, což by byl sice správný závěr, ale natolik revoluční, že ho ani od osvícených ústavních soudců čekat nelze. </w:t>
      </w:r>
    </w:p>
    <w:p w:rsidR="004E0D67" w:rsidRDefault="004E0D67" w:rsidP="00C86A14">
      <w:pPr>
        <w:pStyle w:val="Normlnweb"/>
        <w:shd w:val="clear" w:color="auto" w:fill="FFFFFF"/>
        <w:spacing w:before="0" w:beforeAutospacing="0" w:after="206" w:afterAutospacing="0" w:line="360" w:lineRule="auto"/>
        <w:ind w:left="57" w:right="57"/>
        <w:jc w:val="both"/>
        <w:rPr>
          <w:rFonts w:asciiTheme="minorHAnsi" w:hAnsiTheme="minorHAnsi"/>
          <w:color w:val="000000"/>
          <w:sz w:val="28"/>
          <w:szCs w:val="28"/>
        </w:rPr>
      </w:pPr>
    </w:p>
    <w:p w:rsidR="004E0D67" w:rsidRDefault="009730F4" w:rsidP="002F3868">
      <w:pPr>
        <w:pStyle w:val="Nadpis2"/>
        <w:rPr>
          <w:lang w:val="en-US"/>
        </w:rPr>
      </w:pPr>
      <w:proofErr w:type="spellStart"/>
      <w:r>
        <w:rPr>
          <w:lang w:val="en-US"/>
        </w:rPr>
        <w:lastRenderedPageBreak/>
        <w:t>Konkrétní</w:t>
      </w:r>
      <w:proofErr w:type="spellEnd"/>
      <w:r>
        <w:rPr>
          <w:lang w:val="en-US"/>
        </w:rPr>
        <w:t xml:space="preserve"> </w:t>
      </w:r>
      <w:proofErr w:type="spellStart"/>
      <w:r>
        <w:rPr>
          <w:lang w:val="en-US"/>
        </w:rPr>
        <w:t>kauza</w:t>
      </w:r>
      <w:proofErr w:type="spellEnd"/>
      <w:r>
        <w:rPr>
          <w:lang w:val="en-US"/>
        </w:rPr>
        <w:t xml:space="preserve"> </w:t>
      </w:r>
      <w:proofErr w:type="spellStart"/>
      <w:r>
        <w:rPr>
          <w:lang w:val="en-US"/>
        </w:rPr>
        <w:t>nálezu</w:t>
      </w:r>
      <w:proofErr w:type="spellEnd"/>
    </w:p>
    <w:p w:rsidR="009730F4" w:rsidRDefault="009730F4" w:rsidP="009730F4">
      <w:pPr>
        <w:jc w:val="both"/>
      </w:pPr>
      <w:r>
        <w:t xml:space="preserve">V daném případě šlo o procesní otázku, zda žadatel poté, kdy soud v žalobě proti rozhodnutí (ve formě přípisu, sdělujícímu, že není povinným subjektem) zrušil rozhodnutí nadřízeného orgánu i povinného subjektu, musí žadatel po nové nečinnosti povinného subjektu podat další stížnost. Žadatel podal stížnost proti nečinnosti podle § 16a </w:t>
      </w:r>
      <w:proofErr w:type="spellStart"/>
      <w:r>
        <w:t>Infozákona</w:t>
      </w:r>
      <w:proofErr w:type="spellEnd"/>
      <w:r>
        <w:t>, ale podal ji opožděně, až po třicetidenní lhůtě, kterou § 16a pro stížnosti stanoví. Povinný subjekt na stížnost nereagoval, žadatel podal žalobu proti nečinnosti a krajský soud mu vyhověl. Přitom „odhlédl“ od toho, že stížnost byla podána opožděně, protože podle soudu na danou situaci vůbec povinnost podat stížnost nedopadá, a uložil povinnému subjektu žádost vyřídit. Spor tedy pak běžel o to, zda vůbec bylo nutno podat stížnost poté, kdy soud zrušil vadné rozhodnutí o odmítnutí žádosti (které mělo podobu oznámení, že nejde po povinný subjekt) a vrátil nadřízenému orgánu k novému rozhodnutí, a tento postup nevedl k vyřízení žádosti. Povinný subjekt žádost opakovaně nevyřídil. A také šlo o to, zda je třeba v takovém případě dodržet lhůtu 30 dnů pro podání stížnosti. Zde vznikly dva výklady – jeden, že stížnost se podávat nemusí, druhý, že se podat musí do 30 dnů a je to podmínkou pro podání žaloby proti nečinnosti. U Ústavního soudu nevyhrál ani jeden názor. ÚS stručně říká, že tyto procesní propletence by neměly vést k popření práva na informace, a že je třeba před nimi dát přednost tomu, aby informace byly poskytnuty. Konkrétně ÚS nalezl závěr tak, že si z každého názoru vzal kousek: po rozhodnutí soudu je sice nutno podat stížnost, ale neplatí pro ni lhůta 30 dnů. I opožděně podaná stížnost tedy má vést k nápravě a možnosti podat žalobu proti nečinnosti.</w:t>
      </w:r>
    </w:p>
    <w:p w:rsidR="009730F4" w:rsidRDefault="009730F4" w:rsidP="009730F4">
      <w:pPr>
        <w:jc w:val="both"/>
      </w:pPr>
      <w:r>
        <w:lastRenderedPageBreak/>
        <w:t xml:space="preserve">Zároveň je jasné, že závěr Ústavního soudu je nutno aplikovat nejen na případ, kdy se nové vyřízení žádosti startuje </w:t>
      </w:r>
      <w:r w:rsidRPr="005E0C3A">
        <w:rPr>
          <w:b/>
        </w:rPr>
        <w:t>rozsudkem</w:t>
      </w:r>
      <w:r>
        <w:t xml:space="preserve"> soudu, ale také když se startuje </w:t>
      </w:r>
      <w:r w:rsidRPr="005E0C3A">
        <w:rPr>
          <w:b/>
        </w:rPr>
        <w:t>zrušujícím rozhodnutím nadřízeného orgánu</w:t>
      </w:r>
      <w:r>
        <w:t xml:space="preserve">. Ani pro tyto situace totiž </w:t>
      </w:r>
      <w:proofErr w:type="spellStart"/>
      <w:r>
        <w:t>InfZ</w:t>
      </w:r>
      <w:proofErr w:type="spellEnd"/>
      <w:r>
        <w:t xml:space="preserve"> nestanoví jednoznačně, že stížnost je nutno podat do 30 dnů od tohoto úkonu.</w:t>
      </w:r>
    </w:p>
    <w:p w:rsidR="009730F4" w:rsidRPr="009730F4" w:rsidRDefault="009730F4" w:rsidP="009730F4">
      <w:pPr>
        <w:rPr>
          <w:lang w:val="en-US"/>
        </w:rPr>
      </w:pPr>
    </w:p>
    <w:p w:rsidR="00D91650" w:rsidRDefault="009730F4" w:rsidP="009730F4">
      <w:pPr>
        <w:pStyle w:val="Nadpis2"/>
        <w:tabs>
          <w:tab w:val="right" w:pos="9638"/>
        </w:tabs>
        <w:rPr>
          <w:lang w:val="en-US"/>
        </w:rPr>
      </w:pPr>
      <w:proofErr w:type="spellStart"/>
      <w:r>
        <w:rPr>
          <w:lang w:val="en-US"/>
        </w:rPr>
        <w:t>Závěr</w:t>
      </w:r>
      <w:proofErr w:type="spellEnd"/>
      <w:r>
        <w:rPr>
          <w:lang w:val="en-US"/>
        </w:rPr>
        <w:t xml:space="preserve"> pro </w:t>
      </w:r>
      <w:proofErr w:type="spellStart"/>
      <w:r>
        <w:rPr>
          <w:lang w:val="en-US"/>
        </w:rPr>
        <w:t>speciální</w:t>
      </w:r>
      <w:proofErr w:type="spellEnd"/>
      <w:r>
        <w:rPr>
          <w:lang w:val="en-US"/>
        </w:rPr>
        <w:t xml:space="preserve"> </w:t>
      </w:r>
      <w:proofErr w:type="spellStart"/>
      <w:r>
        <w:rPr>
          <w:lang w:val="en-US"/>
        </w:rPr>
        <w:t>procesní</w:t>
      </w:r>
      <w:proofErr w:type="spellEnd"/>
      <w:r>
        <w:rPr>
          <w:lang w:val="en-US"/>
        </w:rPr>
        <w:t xml:space="preserve"> </w:t>
      </w:r>
      <w:proofErr w:type="spellStart"/>
      <w:r>
        <w:rPr>
          <w:lang w:val="en-US"/>
        </w:rPr>
        <w:t>situaci</w:t>
      </w:r>
      <w:proofErr w:type="spellEnd"/>
      <w:r>
        <w:rPr>
          <w:lang w:val="en-US"/>
        </w:rPr>
        <w:tab/>
      </w:r>
    </w:p>
    <w:p w:rsidR="009A22E8" w:rsidRDefault="009A22E8" w:rsidP="009A22E8">
      <w:pPr>
        <w:jc w:val="both"/>
      </w:pPr>
      <w:r>
        <w:t xml:space="preserve">Závěr pro tuto speciální procesní situaci tedy lze formulovat takto: Po vyřízení odvolání, jakož i po rozsudku soudu, kdy bylo zrušeno rozhodnutí povinného subjektu, tedy v situaci, kdy se žádost „vrátila k povinnému subjektu na začátek“, není při další nečinnosti povinného subjektu nutno podávat stížnost dle § 16a </w:t>
      </w:r>
      <w:proofErr w:type="spellStart"/>
      <w:r>
        <w:t>InfZ</w:t>
      </w:r>
      <w:proofErr w:type="spellEnd"/>
      <w:r>
        <w:t xml:space="preserve"> </w:t>
      </w:r>
      <w:r w:rsidRPr="00F3358C">
        <w:rPr>
          <w:b/>
        </w:rPr>
        <w:t>do 30 dnů</w:t>
      </w:r>
      <w:r>
        <w:t>, ale lze ji podat i později. Jak „později“, zůstává nejasné – zda se uplatní například ustanovení o běhu lhůty v případě, kdy rozhodnutí nebylo účastníkovi doručeno anebo když nebyl poučen o možnosti podat odvolání? Anebo navždy, jako u ochrany před nečinností podle § 80 správního řádu?</w:t>
      </w:r>
    </w:p>
    <w:p w:rsidR="009730F4" w:rsidRDefault="009A22E8" w:rsidP="009730F4">
      <w:pPr>
        <w:pStyle w:val="Nadpis2"/>
        <w:tabs>
          <w:tab w:val="right" w:pos="9638"/>
        </w:tabs>
        <w:rPr>
          <w:lang w:val="en-US"/>
        </w:rPr>
      </w:pPr>
      <w:proofErr w:type="spellStart"/>
      <w:r>
        <w:rPr>
          <w:lang w:val="en-US"/>
        </w:rPr>
        <w:t>Obecné</w:t>
      </w:r>
      <w:proofErr w:type="spellEnd"/>
      <w:r>
        <w:rPr>
          <w:lang w:val="en-US"/>
        </w:rPr>
        <w:t xml:space="preserve"> </w:t>
      </w:r>
      <w:proofErr w:type="spellStart"/>
      <w:r>
        <w:rPr>
          <w:lang w:val="en-US"/>
        </w:rPr>
        <w:t>z</w:t>
      </w:r>
      <w:r w:rsidR="009730F4">
        <w:rPr>
          <w:lang w:val="en-US"/>
        </w:rPr>
        <w:t>ávěr</w:t>
      </w:r>
      <w:r>
        <w:rPr>
          <w:lang w:val="en-US"/>
        </w:rPr>
        <w:t>y</w:t>
      </w:r>
      <w:proofErr w:type="spellEnd"/>
      <w:r w:rsidR="009730F4">
        <w:rPr>
          <w:lang w:val="en-US"/>
        </w:rPr>
        <w:tab/>
      </w:r>
    </w:p>
    <w:p w:rsidR="009A22E8" w:rsidRPr="00165B5A" w:rsidRDefault="009A22E8" w:rsidP="009A22E8">
      <w:pPr>
        <w:jc w:val="both"/>
        <w:rPr>
          <w:b/>
        </w:rPr>
      </w:pPr>
      <w:r>
        <w:t xml:space="preserve">Zároveň se nabízejí obecnější závěry, jež lze dovodit z toho, že ÚS rozhodl, že </w:t>
      </w:r>
      <w:r w:rsidRPr="00165B5A">
        <w:rPr>
          <w:b/>
        </w:rPr>
        <w:t xml:space="preserve">v případech nejasnosti, </w:t>
      </w:r>
      <w:r w:rsidRPr="00276018">
        <w:t xml:space="preserve">tedy v zásadě ve všech případech, kdy nadřízené orgány nebo obecné soudy včetně NSS určitou nejasnost ve výkladu </w:t>
      </w:r>
      <w:proofErr w:type="spellStart"/>
      <w:r w:rsidRPr="00276018">
        <w:t>Infozákona</w:t>
      </w:r>
      <w:proofErr w:type="spellEnd"/>
      <w:r w:rsidRPr="00165B5A">
        <w:rPr>
          <w:b/>
        </w:rPr>
        <w:t xml:space="preserve"> dotvořily v neprospěch žadatelů, jsou takové výklady protiústavní a je třeba je </w:t>
      </w:r>
      <w:r>
        <w:rPr>
          <w:b/>
        </w:rPr>
        <w:t>odmítnout</w:t>
      </w:r>
      <w:r w:rsidRPr="00165B5A">
        <w:rPr>
          <w:b/>
        </w:rPr>
        <w:t>.</w:t>
      </w:r>
    </w:p>
    <w:p w:rsidR="009A22E8" w:rsidRDefault="009A22E8" w:rsidP="009A22E8">
      <w:pPr>
        <w:jc w:val="both"/>
      </w:pPr>
      <w:r>
        <w:lastRenderedPageBreak/>
        <w:t xml:space="preserve">Takových případů již několik existuje. Jedním z nich je například úhrada za </w:t>
      </w:r>
      <w:proofErr w:type="spellStart"/>
      <w:r>
        <w:t>anonymizaci</w:t>
      </w:r>
      <w:proofErr w:type="spellEnd"/>
      <w:r>
        <w:t xml:space="preserve">. NSS v rozsudku </w:t>
      </w:r>
      <w:r w:rsidRPr="00C35CBC">
        <w:t xml:space="preserve">7 As 20/2013 </w:t>
      </w:r>
      <w:r>
        <w:t xml:space="preserve">rozhodl, že lze požadovat úhradu za úpravu požadovaného dokumentu formou </w:t>
      </w:r>
      <w:proofErr w:type="spellStart"/>
      <w:r>
        <w:t>anonymizace</w:t>
      </w:r>
      <w:proofErr w:type="spellEnd"/>
      <w:r>
        <w:t xml:space="preserve">. Dokonce v dalším rozsudku </w:t>
      </w:r>
      <w:r w:rsidRPr="00C35CBC">
        <w:t xml:space="preserve">5 As 76/2014 </w:t>
      </w:r>
      <w:r>
        <w:t>–</w:t>
      </w:r>
      <w:r w:rsidRPr="00C35CBC">
        <w:t xml:space="preserve"> 23</w:t>
      </w:r>
      <w:r>
        <w:t xml:space="preserve"> extenzivně dopad tohoto názoru rozšířil tak, že lze požadovat úhradu i za pouhou kontrolu dokumentu, zda je nutno v něm něco anonymizovat, i kdyby ve výsledku nebylo nutno anonymizovat nic. To jsou mimořádně extenzivní výklady, které po uvedených rozsudcích uplatňují i některé povinné subjekty a jejich nadřízené orgány (např. soudy při vydávání anonymizovaných rozsudků a Ministerstvo spravedlnosti, jež tento postup při vyřízení opravných prostředků potvrzuje). Je zcela jasné, že </w:t>
      </w:r>
      <w:proofErr w:type="spellStart"/>
      <w:r>
        <w:t>Infozákon</w:t>
      </w:r>
      <w:proofErr w:type="spellEnd"/>
      <w:r>
        <w:t xml:space="preserve"> nic takového přímo neobsahuje, jde o „dotvoření“ a volný výklad. Naopak se v literatuře stabilně uvádí názor, že předmětem zpoplatnění se </w:t>
      </w:r>
      <w:proofErr w:type="spellStart"/>
      <w:r>
        <w:t>anonymizace</w:t>
      </w:r>
      <w:proofErr w:type="spellEnd"/>
      <w:r>
        <w:t xml:space="preserve"> stát nemůže, protože spadá spíše pod právní posouzení toho, co lze a co nelze poskytnout, což nikdy není možné zpoplatnit k tíži žadatele. Je také zcela jasné, že jde o výklad, který je v neprospěch žadatele.</w:t>
      </w:r>
    </w:p>
    <w:p w:rsidR="009A22E8" w:rsidRDefault="009A22E8" w:rsidP="009A22E8">
      <w:pPr>
        <w:jc w:val="both"/>
      </w:pPr>
      <w:r>
        <w:t>Ve světle nynějšího nálezu ÚS by tedy tyto názory správních orgánů i obecných soudů včetně NSS neměly obstát.</w:t>
      </w:r>
    </w:p>
    <w:p w:rsidR="009A22E8" w:rsidRDefault="009A22E8" w:rsidP="009A22E8">
      <w:pPr>
        <w:jc w:val="both"/>
      </w:pPr>
      <w:r>
        <w:t xml:space="preserve">Pro </w:t>
      </w:r>
      <w:proofErr w:type="spellStart"/>
      <w:r>
        <w:t>futuro</w:t>
      </w:r>
      <w:proofErr w:type="spellEnd"/>
      <w:r>
        <w:t xml:space="preserve"> je také možné spekulovat, jak by teze ÚS, že </w:t>
      </w:r>
      <w:r w:rsidRPr="004319B1">
        <w:rPr>
          <w:i/>
        </w:rPr>
        <w:t>„</w:t>
      </w:r>
      <w:r>
        <w:rPr>
          <w:i/>
        </w:rPr>
        <w:t>m</w:t>
      </w:r>
      <w:r w:rsidRPr="004319B1">
        <w:rPr>
          <w:i/>
        </w:rPr>
        <w:t>usí existovat účinná a přístupná procedura, jíž se dotčená osoba může  domoci  svých  práv“</w:t>
      </w:r>
      <w:r>
        <w:t xml:space="preserve"> dopadla na obstrukce povinných subjektů, </w:t>
      </w:r>
      <w:proofErr w:type="gramStart"/>
      <w:r>
        <w:t>zejména k administrativní</w:t>
      </w:r>
      <w:proofErr w:type="gramEnd"/>
      <w:r>
        <w:t xml:space="preserve"> ping </w:t>
      </w:r>
      <w:proofErr w:type="gramStart"/>
      <w:r>
        <w:t>pong</w:t>
      </w:r>
      <w:proofErr w:type="gramEnd"/>
      <w:r>
        <w:t xml:space="preserve">? Zde by pravděpodobně Ústavní soud naopak potvrdil rozsudek NSS, kterým rozhodl o postupu při překonání administrativního ping-pongu. NSS uvedl, že jakmile z opakovaného zrušení a vrácení nadřízeným orgánem a dalšího odepření informace povinným subjektem plyne záměr povinného subjektu obstruovat vyřízení žádosti, lze podat žalobu i proti souhlasnému rozhodnutí nadřízeného </w:t>
      </w:r>
      <w:r>
        <w:lastRenderedPageBreak/>
        <w:t xml:space="preserve">orgánu a tak dostat věc k soudu. NSS naznačil, že toto opakování by mělo nastat alespoň dvakrát, tedy že by žadatel směl podat žalobu až tehdy, když povinný subjekt špatně rozhodl třikrát. Otázkou však je, zda je nutno opravdu, aby třikrát došlo k opakovanému vadnému rozhodnutí povinného subjektu. A možná i jen dvakrát. Možná by Ústavní soud takový požadavek, zjevně dovozený nad rámec </w:t>
      </w:r>
      <w:proofErr w:type="spellStart"/>
      <w:r>
        <w:t>Infozákona</w:t>
      </w:r>
      <w:proofErr w:type="spellEnd"/>
      <w:r>
        <w:t xml:space="preserve"> a vlastně v neprospěch žadatele, odmítl a připustil podat žalobu ihned, jakmile je z jakýchkoliv okolností patrný obstrukční postup povinného subjektu. To by mohlo nastat již </w:t>
      </w:r>
      <w:bookmarkStart w:id="0" w:name="_GoBack"/>
      <w:bookmarkEnd w:id="0"/>
      <w:r>
        <w:t>tehdy, kdy povinný subjekt podruhé nesprávně odmítne žádost anebo zůstane nečinný, anebo dokonce ihned, jakmile to udělá poprvé, pokud je zjevné, že nehodlá respektovat rozhodnutí nadřízeného orgánu.</w:t>
      </w:r>
    </w:p>
    <w:p w:rsidR="009A22E8" w:rsidRDefault="009A22E8" w:rsidP="009A22E8">
      <w:pPr>
        <w:jc w:val="both"/>
      </w:pPr>
      <w:r>
        <w:t xml:space="preserve">Tyto pohledy však nemají příliš šanci, aby se nějakou cestou dostaly na stůl Ústavního soudu, bylo by však možné požadovat je po obecných soudech, byť </w:t>
      </w:r>
      <w:proofErr w:type="gramStart"/>
      <w:r>
        <w:t>se</w:t>
      </w:r>
      <w:proofErr w:type="gramEnd"/>
      <w:r>
        <w:t xml:space="preserve"> velmi neodhadnutelným výsledkem.</w:t>
      </w:r>
    </w:p>
    <w:p w:rsidR="009730F4" w:rsidRPr="00C568A3" w:rsidRDefault="009730F4" w:rsidP="00C568A3">
      <w:pPr>
        <w:pStyle w:val="Normlnweb"/>
        <w:shd w:val="clear" w:color="auto" w:fill="FFFFFF"/>
        <w:spacing w:before="0" w:beforeAutospacing="0" w:after="206" w:afterAutospacing="0" w:line="360" w:lineRule="auto"/>
        <w:ind w:left="56" w:right="56"/>
        <w:jc w:val="both"/>
        <w:rPr>
          <w:rFonts w:asciiTheme="minorHAnsi" w:hAnsiTheme="minorHAnsi"/>
          <w:color w:val="000000"/>
          <w:sz w:val="28"/>
          <w:szCs w:val="28"/>
        </w:rPr>
      </w:pPr>
    </w:p>
    <w:p w:rsidR="0059748E" w:rsidRDefault="0059748E" w:rsidP="0039018A">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r w:rsidRPr="00CE3CA7">
        <w:rPr>
          <w:rFonts w:asciiTheme="minorHAnsi" w:hAnsiTheme="minorHAnsi"/>
          <w:b/>
          <w:color w:val="CDA41C" w:themeColor="accent1" w:themeShade="BF"/>
          <w:sz w:val="28"/>
          <w:szCs w:val="28"/>
        </w:rPr>
        <w:t xml:space="preserve">Pro Otevřenou společnost </w:t>
      </w:r>
      <w:r w:rsidR="00CE3CA7" w:rsidRPr="00CE3CA7">
        <w:rPr>
          <w:rFonts w:asciiTheme="minorHAnsi" w:hAnsiTheme="minorHAnsi"/>
          <w:b/>
          <w:color w:val="CDA41C" w:themeColor="accent1" w:themeShade="BF"/>
          <w:sz w:val="28"/>
          <w:szCs w:val="28"/>
        </w:rPr>
        <w:t>zpracoval Oldřich Kužílek</w:t>
      </w:r>
      <w:r w:rsidR="009A22E8">
        <w:rPr>
          <w:rFonts w:asciiTheme="minorHAnsi" w:hAnsiTheme="minorHAnsi"/>
          <w:b/>
          <w:color w:val="CDA41C" w:themeColor="accent1" w:themeShade="BF"/>
          <w:sz w:val="28"/>
          <w:szCs w:val="28"/>
        </w:rPr>
        <w:t>, poradce pro otevřenost veřejné správy</w:t>
      </w:r>
      <w:r w:rsidR="00CE3CA7" w:rsidRPr="00CE3CA7">
        <w:rPr>
          <w:rFonts w:asciiTheme="minorHAnsi" w:hAnsiTheme="minorHAnsi"/>
          <w:b/>
          <w:color w:val="CDA41C" w:themeColor="accent1" w:themeShade="BF"/>
          <w:sz w:val="28"/>
          <w:szCs w:val="28"/>
        </w:rPr>
        <w:t>.</w:t>
      </w:r>
    </w:p>
    <w:p w:rsidR="0039018A" w:rsidRDefault="0039018A" w:rsidP="0039018A">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p>
    <w:p w:rsidR="0039018A" w:rsidRPr="00CE3CA7" w:rsidRDefault="0039018A" w:rsidP="0039018A">
      <w:pPr>
        <w:pStyle w:val="Normlnweb"/>
        <w:shd w:val="clear" w:color="auto" w:fill="FFFFFF"/>
        <w:spacing w:before="0" w:beforeAutospacing="0" w:after="206" w:afterAutospacing="0" w:line="360" w:lineRule="auto"/>
        <w:ind w:right="57"/>
        <w:jc w:val="both"/>
        <w:rPr>
          <w:rFonts w:asciiTheme="minorHAnsi" w:hAnsiTheme="minorHAnsi"/>
          <w:b/>
          <w:color w:val="CDA41C" w:themeColor="accent1" w:themeShade="BF"/>
          <w:sz w:val="28"/>
          <w:szCs w:val="28"/>
        </w:rPr>
      </w:pPr>
      <w:r>
        <w:rPr>
          <w:noProof/>
        </w:rPr>
        <w:drawing>
          <wp:inline distT="0" distB="0" distL="0" distR="0">
            <wp:extent cx="6120130" cy="699045"/>
            <wp:effectExtent l="19050" t="0" r="0" b="0"/>
            <wp:docPr id="1" name="obrázek 1" descr="http://www.otevrenaspolecnost.cz/website/var/tmp/image-thumbnails/0/24/thumb__auto_43ace45ddd9cd9a4f466f4bbe9d6f65c/l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tevrenaspolecnost.cz/website/var/tmp/image-thumbnails/0/24/thumb__auto_43ace45ddd9cd9a4f466f4bbe9d6f65c/loga.png"/>
                    <pic:cNvPicPr>
                      <a:picLocks noChangeAspect="1" noChangeArrowheads="1"/>
                    </pic:cNvPicPr>
                  </pic:nvPicPr>
                  <pic:blipFill>
                    <a:blip r:embed="rId9" cstate="print"/>
                    <a:srcRect/>
                    <a:stretch>
                      <a:fillRect/>
                    </a:stretch>
                  </pic:blipFill>
                  <pic:spPr bwMode="auto">
                    <a:xfrm>
                      <a:off x="0" y="0"/>
                      <a:ext cx="6120130" cy="699045"/>
                    </a:xfrm>
                    <a:prstGeom prst="rect">
                      <a:avLst/>
                    </a:prstGeom>
                    <a:noFill/>
                    <a:ln w="9525">
                      <a:noFill/>
                      <a:miter lim="800000"/>
                      <a:headEnd/>
                      <a:tailEnd/>
                    </a:ln>
                  </pic:spPr>
                </pic:pic>
              </a:graphicData>
            </a:graphic>
          </wp:inline>
        </w:drawing>
      </w:r>
    </w:p>
    <w:sectPr w:rsidR="0039018A" w:rsidRPr="00CE3CA7" w:rsidSect="009D654A">
      <w:headerReference w:type="default" r:id="rId10"/>
      <w:headerReference w:type="first" r:id="rId11"/>
      <w:pgSz w:w="11906" w:h="16838" w:code="9"/>
      <w:pgMar w:top="2268" w:right="1134" w:bottom="1985" w:left="1134"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1FC9" w:rsidRDefault="00301FC9" w:rsidP="00C7223F">
      <w:pPr>
        <w:spacing w:after="0" w:line="240" w:lineRule="auto"/>
      </w:pPr>
      <w:r>
        <w:separator/>
      </w:r>
    </w:p>
  </w:endnote>
  <w:endnote w:type="continuationSeparator" w:id="0">
    <w:p w:rsidR="00301FC9" w:rsidRDefault="00301FC9" w:rsidP="00C722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embedRegular r:id="rId1" w:fontKey="{189E7921-EDCE-4899-B3D0-5CF5C48DCBAB}"/>
    <w:embedBold r:id="rId2" w:fontKey="{3F023857-71D2-4D40-AC0A-BF4229B63F2F}"/>
    <w:embedItalic r:id="rId3" w:fontKey="{AE2A0369-89E6-4569-8E02-814BF7510B03}"/>
  </w:font>
  <w:font w:name="Proxima Nova Bl">
    <w:altName w:val="Arial"/>
    <w:panose1 w:val="00000000000000000000"/>
    <w:charset w:val="00"/>
    <w:family w:val="modern"/>
    <w:notTrueType/>
    <w:pitch w:val="variable"/>
    <w:sig w:usb0="00000001" w:usb1="5000E0FB" w:usb2="00000000" w:usb3="00000000" w:csb0="0000019F" w:csb1="00000000"/>
  </w:font>
  <w:font w:name="Tahoma">
    <w:panose1 w:val="020B0604030504040204"/>
    <w:charset w:val="EE"/>
    <w:family w:val="swiss"/>
    <w:pitch w:val="variable"/>
    <w:sig w:usb0="E1002EFF" w:usb1="C000605B" w:usb2="00000029" w:usb3="00000000" w:csb0="000101FF" w:csb1="00000000"/>
    <w:embedRegular r:id="rId4" w:fontKey="{E43A818B-3232-4A2A-990E-47CCAEEC81FE}"/>
  </w:font>
  <w:font w:name="Proxima Nova Rg">
    <w:altName w:val="Arial"/>
    <w:panose1 w:val="00000000000000000000"/>
    <w:charset w:val="00"/>
    <w:family w:val="modern"/>
    <w:notTrueType/>
    <w:pitch w:val="variable"/>
    <w:sig w:usb0="00000001" w:usb1="5000E0F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1FC9" w:rsidRDefault="00301FC9" w:rsidP="00C7223F">
      <w:pPr>
        <w:spacing w:after="0" w:line="240" w:lineRule="auto"/>
      </w:pPr>
      <w:r>
        <w:separator/>
      </w:r>
    </w:p>
  </w:footnote>
  <w:footnote w:type="continuationSeparator" w:id="0">
    <w:p w:rsidR="00301FC9" w:rsidRDefault="00301FC9" w:rsidP="00C722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23F" w:rsidRDefault="00C7223F">
    <w:pPr>
      <w:pStyle w:val="Zhlav"/>
    </w:pPr>
    <w:r>
      <w:rPr>
        <w:noProof/>
        <w:lang w:eastAsia="cs-CZ"/>
      </w:rPr>
      <w:drawing>
        <wp:anchor distT="0" distB="0" distL="114300" distR="114300" simplePos="0" relativeHeight="251658240" behindDoc="1" locked="0" layoutInCell="1" allowOverlap="1">
          <wp:simplePos x="0" y="0"/>
          <wp:positionH relativeFrom="column">
            <wp:posOffset>-719907</wp:posOffset>
          </wp:positionH>
          <wp:positionV relativeFrom="paragraph">
            <wp:posOffset>-450215</wp:posOffset>
          </wp:positionV>
          <wp:extent cx="7559308" cy="10692765"/>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01.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59308" cy="10692765"/>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FDE" w:rsidRDefault="009D654A">
    <w:pPr>
      <w:pStyle w:val="Zhlav"/>
    </w:pPr>
    <w:r>
      <w:rPr>
        <w:noProof/>
        <w:lang w:eastAsia="cs-CZ"/>
      </w:rPr>
      <w:drawing>
        <wp:anchor distT="0" distB="0" distL="114300" distR="114300" simplePos="0" relativeHeight="251659264" behindDoc="1" locked="0" layoutInCell="1" allowOverlap="1">
          <wp:simplePos x="0" y="0"/>
          <wp:positionH relativeFrom="column">
            <wp:posOffset>-720090</wp:posOffset>
          </wp:positionH>
          <wp:positionV relativeFrom="paragraph">
            <wp:posOffset>-450215</wp:posOffset>
          </wp:positionV>
          <wp:extent cx="7558738" cy="10692000"/>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prezentace-01.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558738" cy="106920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E6C9B"/>
    <w:multiLevelType w:val="hybridMultilevel"/>
    <w:tmpl w:val="0288893A"/>
    <w:lvl w:ilvl="0" w:tplc="F90E20FE">
      <w:start w:val="1"/>
      <w:numFmt w:val="decimal"/>
      <w:lvlText w:val="%1)"/>
      <w:lvlJc w:val="left"/>
      <w:pPr>
        <w:ind w:left="477" w:hanging="420"/>
      </w:pPr>
      <w:rPr>
        <w:rFonts w:hint="default"/>
        <w:color w:val="CDA41C" w:themeColor="accent1" w:themeShade="BF"/>
        <w:sz w:val="28"/>
        <w:szCs w:val="28"/>
      </w:rPr>
    </w:lvl>
    <w:lvl w:ilvl="1" w:tplc="04050019" w:tentative="1">
      <w:start w:val="1"/>
      <w:numFmt w:val="lowerLetter"/>
      <w:lvlText w:val="%2."/>
      <w:lvlJc w:val="left"/>
      <w:pPr>
        <w:ind w:left="1137" w:hanging="360"/>
      </w:pPr>
    </w:lvl>
    <w:lvl w:ilvl="2" w:tplc="0405001B" w:tentative="1">
      <w:start w:val="1"/>
      <w:numFmt w:val="lowerRoman"/>
      <w:lvlText w:val="%3."/>
      <w:lvlJc w:val="right"/>
      <w:pPr>
        <w:ind w:left="1857" w:hanging="180"/>
      </w:pPr>
    </w:lvl>
    <w:lvl w:ilvl="3" w:tplc="0405000F" w:tentative="1">
      <w:start w:val="1"/>
      <w:numFmt w:val="decimal"/>
      <w:lvlText w:val="%4."/>
      <w:lvlJc w:val="left"/>
      <w:pPr>
        <w:ind w:left="2577" w:hanging="360"/>
      </w:pPr>
    </w:lvl>
    <w:lvl w:ilvl="4" w:tplc="04050019" w:tentative="1">
      <w:start w:val="1"/>
      <w:numFmt w:val="lowerLetter"/>
      <w:lvlText w:val="%5."/>
      <w:lvlJc w:val="left"/>
      <w:pPr>
        <w:ind w:left="3297" w:hanging="360"/>
      </w:pPr>
    </w:lvl>
    <w:lvl w:ilvl="5" w:tplc="0405001B" w:tentative="1">
      <w:start w:val="1"/>
      <w:numFmt w:val="lowerRoman"/>
      <w:lvlText w:val="%6."/>
      <w:lvlJc w:val="right"/>
      <w:pPr>
        <w:ind w:left="4017" w:hanging="180"/>
      </w:pPr>
    </w:lvl>
    <w:lvl w:ilvl="6" w:tplc="0405000F" w:tentative="1">
      <w:start w:val="1"/>
      <w:numFmt w:val="decimal"/>
      <w:lvlText w:val="%7."/>
      <w:lvlJc w:val="left"/>
      <w:pPr>
        <w:ind w:left="4737" w:hanging="360"/>
      </w:pPr>
    </w:lvl>
    <w:lvl w:ilvl="7" w:tplc="04050019" w:tentative="1">
      <w:start w:val="1"/>
      <w:numFmt w:val="lowerLetter"/>
      <w:lvlText w:val="%8."/>
      <w:lvlJc w:val="left"/>
      <w:pPr>
        <w:ind w:left="5457" w:hanging="360"/>
      </w:pPr>
    </w:lvl>
    <w:lvl w:ilvl="8" w:tplc="0405001B" w:tentative="1">
      <w:start w:val="1"/>
      <w:numFmt w:val="lowerRoman"/>
      <w:lvlText w:val="%9."/>
      <w:lvlJc w:val="right"/>
      <w:pPr>
        <w:ind w:left="6177" w:hanging="180"/>
      </w:pPr>
    </w:lvl>
  </w:abstractNum>
  <w:abstractNum w:abstractNumId="1">
    <w:nsid w:val="705A70E6"/>
    <w:multiLevelType w:val="hybridMultilevel"/>
    <w:tmpl w:val="137283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TrueTypeFonts/>
  <w:hideSpellingErrors/>
  <w:proofState w:spelling="clean" w:grammar="clean"/>
  <w:defaultTabStop w:val="708"/>
  <w:hyphenationZone w:val="425"/>
  <w:characterSpacingControl w:val="doNotCompress"/>
  <w:hdrShapeDefaults>
    <o:shapedefaults v:ext="edit" spidmax="17410"/>
  </w:hdrShapeDefaults>
  <w:footnotePr>
    <w:footnote w:id="-1"/>
    <w:footnote w:id="0"/>
  </w:footnotePr>
  <w:endnotePr>
    <w:endnote w:id="-1"/>
    <w:endnote w:id="0"/>
  </w:endnotePr>
  <w:compat/>
  <w:rsids>
    <w:rsidRoot w:val="00712A97"/>
    <w:rsid w:val="000022BD"/>
    <w:rsid w:val="000030D1"/>
    <w:rsid w:val="00006DA0"/>
    <w:rsid w:val="000072EF"/>
    <w:rsid w:val="00007AB7"/>
    <w:rsid w:val="00011FB7"/>
    <w:rsid w:val="000153DA"/>
    <w:rsid w:val="00015FCC"/>
    <w:rsid w:val="00017A45"/>
    <w:rsid w:val="00020F77"/>
    <w:rsid w:val="00021204"/>
    <w:rsid w:val="00021657"/>
    <w:rsid w:val="00022CE1"/>
    <w:rsid w:val="00023D27"/>
    <w:rsid w:val="000242DA"/>
    <w:rsid w:val="00025465"/>
    <w:rsid w:val="0002564B"/>
    <w:rsid w:val="00025C89"/>
    <w:rsid w:val="00030761"/>
    <w:rsid w:val="000332B1"/>
    <w:rsid w:val="00033605"/>
    <w:rsid w:val="00037E69"/>
    <w:rsid w:val="00037F83"/>
    <w:rsid w:val="000440F0"/>
    <w:rsid w:val="000445C4"/>
    <w:rsid w:val="00046F23"/>
    <w:rsid w:val="00047435"/>
    <w:rsid w:val="000518E8"/>
    <w:rsid w:val="00053F21"/>
    <w:rsid w:val="0005503B"/>
    <w:rsid w:val="00057380"/>
    <w:rsid w:val="0006166A"/>
    <w:rsid w:val="00062210"/>
    <w:rsid w:val="0006228D"/>
    <w:rsid w:val="00064A33"/>
    <w:rsid w:val="00070CAC"/>
    <w:rsid w:val="0007369E"/>
    <w:rsid w:val="000775F9"/>
    <w:rsid w:val="00080F91"/>
    <w:rsid w:val="00082475"/>
    <w:rsid w:val="00087639"/>
    <w:rsid w:val="000940B2"/>
    <w:rsid w:val="00094119"/>
    <w:rsid w:val="000941B5"/>
    <w:rsid w:val="00096DC1"/>
    <w:rsid w:val="00097652"/>
    <w:rsid w:val="000A10CE"/>
    <w:rsid w:val="000A146B"/>
    <w:rsid w:val="000A1E65"/>
    <w:rsid w:val="000A1EB7"/>
    <w:rsid w:val="000A2FC4"/>
    <w:rsid w:val="000A39E3"/>
    <w:rsid w:val="000B05B5"/>
    <w:rsid w:val="000B10B7"/>
    <w:rsid w:val="000B1564"/>
    <w:rsid w:val="000B432F"/>
    <w:rsid w:val="000B4E4C"/>
    <w:rsid w:val="000B59E2"/>
    <w:rsid w:val="000B60DF"/>
    <w:rsid w:val="000C099C"/>
    <w:rsid w:val="000C25C2"/>
    <w:rsid w:val="000C265E"/>
    <w:rsid w:val="000C3547"/>
    <w:rsid w:val="000C3A11"/>
    <w:rsid w:val="000C5808"/>
    <w:rsid w:val="000D1E09"/>
    <w:rsid w:val="000D2A57"/>
    <w:rsid w:val="000E1F45"/>
    <w:rsid w:val="000E2ED1"/>
    <w:rsid w:val="000E3917"/>
    <w:rsid w:val="000E4847"/>
    <w:rsid w:val="000E62DD"/>
    <w:rsid w:val="000E7DB8"/>
    <w:rsid w:val="000F0A58"/>
    <w:rsid w:val="000F2CDC"/>
    <w:rsid w:val="000F3F3A"/>
    <w:rsid w:val="000F575B"/>
    <w:rsid w:val="000F64E8"/>
    <w:rsid w:val="000F75F8"/>
    <w:rsid w:val="00101814"/>
    <w:rsid w:val="00101BAB"/>
    <w:rsid w:val="00102F9E"/>
    <w:rsid w:val="001040F5"/>
    <w:rsid w:val="0010431D"/>
    <w:rsid w:val="00104D9B"/>
    <w:rsid w:val="001051F3"/>
    <w:rsid w:val="00106B98"/>
    <w:rsid w:val="001110DD"/>
    <w:rsid w:val="001116B8"/>
    <w:rsid w:val="001124D6"/>
    <w:rsid w:val="00112CB0"/>
    <w:rsid w:val="00115D3B"/>
    <w:rsid w:val="0012176E"/>
    <w:rsid w:val="001226C0"/>
    <w:rsid w:val="001259C9"/>
    <w:rsid w:val="001263EA"/>
    <w:rsid w:val="001305B8"/>
    <w:rsid w:val="00130760"/>
    <w:rsid w:val="0013118E"/>
    <w:rsid w:val="00131946"/>
    <w:rsid w:val="00132569"/>
    <w:rsid w:val="00142F98"/>
    <w:rsid w:val="00153055"/>
    <w:rsid w:val="00154837"/>
    <w:rsid w:val="001548C0"/>
    <w:rsid w:val="00160BAA"/>
    <w:rsid w:val="0016265B"/>
    <w:rsid w:val="00162A75"/>
    <w:rsid w:val="00167EDE"/>
    <w:rsid w:val="00172496"/>
    <w:rsid w:val="001744B8"/>
    <w:rsid w:val="00177EBA"/>
    <w:rsid w:val="00180DDB"/>
    <w:rsid w:val="00182533"/>
    <w:rsid w:val="00183888"/>
    <w:rsid w:val="00183A0E"/>
    <w:rsid w:val="00183A5E"/>
    <w:rsid w:val="00186263"/>
    <w:rsid w:val="0018729A"/>
    <w:rsid w:val="00187BE0"/>
    <w:rsid w:val="00191EEC"/>
    <w:rsid w:val="001969D6"/>
    <w:rsid w:val="0019726A"/>
    <w:rsid w:val="00197776"/>
    <w:rsid w:val="001A2F2F"/>
    <w:rsid w:val="001A3377"/>
    <w:rsid w:val="001A3E30"/>
    <w:rsid w:val="001A505B"/>
    <w:rsid w:val="001A7EC1"/>
    <w:rsid w:val="001B02AB"/>
    <w:rsid w:val="001B2FDE"/>
    <w:rsid w:val="001B572B"/>
    <w:rsid w:val="001C23E8"/>
    <w:rsid w:val="001C3556"/>
    <w:rsid w:val="001C3B59"/>
    <w:rsid w:val="001C633F"/>
    <w:rsid w:val="001C6EFA"/>
    <w:rsid w:val="001D053C"/>
    <w:rsid w:val="001D1CE1"/>
    <w:rsid w:val="001D5B90"/>
    <w:rsid w:val="001E085E"/>
    <w:rsid w:val="001E640B"/>
    <w:rsid w:val="001E6B3B"/>
    <w:rsid w:val="001E6F6C"/>
    <w:rsid w:val="001E6F7B"/>
    <w:rsid w:val="001F07DA"/>
    <w:rsid w:val="001F28B4"/>
    <w:rsid w:val="001F50E8"/>
    <w:rsid w:val="001F5395"/>
    <w:rsid w:val="00201207"/>
    <w:rsid w:val="00202211"/>
    <w:rsid w:val="0020401E"/>
    <w:rsid w:val="0021085F"/>
    <w:rsid w:val="00212D03"/>
    <w:rsid w:val="002147CC"/>
    <w:rsid w:val="00214B80"/>
    <w:rsid w:val="00214B91"/>
    <w:rsid w:val="0021515B"/>
    <w:rsid w:val="00215F38"/>
    <w:rsid w:val="00220583"/>
    <w:rsid w:val="00221311"/>
    <w:rsid w:val="00221905"/>
    <w:rsid w:val="00221B04"/>
    <w:rsid w:val="0022544F"/>
    <w:rsid w:val="0023140B"/>
    <w:rsid w:val="00233993"/>
    <w:rsid w:val="00234AC6"/>
    <w:rsid w:val="002371E5"/>
    <w:rsid w:val="00243C5C"/>
    <w:rsid w:val="0026003D"/>
    <w:rsid w:val="002604F8"/>
    <w:rsid w:val="002608BE"/>
    <w:rsid w:val="00263D26"/>
    <w:rsid w:val="00264E46"/>
    <w:rsid w:val="002678E0"/>
    <w:rsid w:val="00270397"/>
    <w:rsid w:val="002732F4"/>
    <w:rsid w:val="00273D0E"/>
    <w:rsid w:val="002746C6"/>
    <w:rsid w:val="00281A27"/>
    <w:rsid w:val="00285523"/>
    <w:rsid w:val="002863E5"/>
    <w:rsid w:val="00287356"/>
    <w:rsid w:val="0029050D"/>
    <w:rsid w:val="002908EE"/>
    <w:rsid w:val="00293861"/>
    <w:rsid w:val="00294EE9"/>
    <w:rsid w:val="00295AC0"/>
    <w:rsid w:val="002A0260"/>
    <w:rsid w:val="002A1860"/>
    <w:rsid w:val="002A3F10"/>
    <w:rsid w:val="002A731E"/>
    <w:rsid w:val="002A73C6"/>
    <w:rsid w:val="002B05CE"/>
    <w:rsid w:val="002B26C3"/>
    <w:rsid w:val="002B41FF"/>
    <w:rsid w:val="002B4564"/>
    <w:rsid w:val="002B6402"/>
    <w:rsid w:val="002B72E9"/>
    <w:rsid w:val="002B7A40"/>
    <w:rsid w:val="002C0492"/>
    <w:rsid w:val="002C2F19"/>
    <w:rsid w:val="002C3F31"/>
    <w:rsid w:val="002C7FA3"/>
    <w:rsid w:val="002D0DBB"/>
    <w:rsid w:val="002D31BA"/>
    <w:rsid w:val="002D4E06"/>
    <w:rsid w:val="002D7D34"/>
    <w:rsid w:val="002E3601"/>
    <w:rsid w:val="002E523D"/>
    <w:rsid w:val="002E536A"/>
    <w:rsid w:val="002E60FB"/>
    <w:rsid w:val="002E688B"/>
    <w:rsid w:val="002F00C3"/>
    <w:rsid w:val="002F3868"/>
    <w:rsid w:val="002F4394"/>
    <w:rsid w:val="002F6FE4"/>
    <w:rsid w:val="003002BE"/>
    <w:rsid w:val="00301FC9"/>
    <w:rsid w:val="00302387"/>
    <w:rsid w:val="00302539"/>
    <w:rsid w:val="003065F3"/>
    <w:rsid w:val="003104B4"/>
    <w:rsid w:val="00315318"/>
    <w:rsid w:val="00317A61"/>
    <w:rsid w:val="00317A6D"/>
    <w:rsid w:val="00317C39"/>
    <w:rsid w:val="00321D2F"/>
    <w:rsid w:val="0032416C"/>
    <w:rsid w:val="003243D5"/>
    <w:rsid w:val="003255E2"/>
    <w:rsid w:val="00333E13"/>
    <w:rsid w:val="00333E41"/>
    <w:rsid w:val="00335047"/>
    <w:rsid w:val="003366E3"/>
    <w:rsid w:val="00337662"/>
    <w:rsid w:val="00337C3D"/>
    <w:rsid w:val="00340B3F"/>
    <w:rsid w:val="00346275"/>
    <w:rsid w:val="00350A79"/>
    <w:rsid w:val="00351444"/>
    <w:rsid w:val="00353CD2"/>
    <w:rsid w:val="003632DF"/>
    <w:rsid w:val="003643CD"/>
    <w:rsid w:val="00365054"/>
    <w:rsid w:val="00366A03"/>
    <w:rsid w:val="00370461"/>
    <w:rsid w:val="00372D79"/>
    <w:rsid w:val="00373ADF"/>
    <w:rsid w:val="00375FCC"/>
    <w:rsid w:val="003765B2"/>
    <w:rsid w:val="00377BF3"/>
    <w:rsid w:val="00377C3E"/>
    <w:rsid w:val="00380BA1"/>
    <w:rsid w:val="0039018A"/>
    <w:rsid w:val="0039188D"/>
    <w:rsid w:val="00392EF8"/>
    <w:rsid w:val="00396AEB"/>
    <w:rsid w:val="003A26F5"/>
    <w:rsid w:val="003A3CB9"/>
    <w:rsid w:val="003A408F"/>
    <w:rsid w:val="003A5B68"/>
    <w:rsid w:val="003B02DC"/>
    <w:rsid w:val="003B2520"/>
    <w:rsid w:val="003B2EA7"/>
    <w:rsid w:val="003B35CA"/>
    <w:rsid w:val="003B54E1"/>
    <w:rsid w:val="003B63B3"/>
    <w:rsid w:val="003C23C2"/>
    <w:rsid w:val="003C3D6B"/>
    <w:rsid w:val="003C4CB5"/>
    <w:rsid w:val="003C5146"/>
    <w:rsid w:val="003C5758"/>
    <w:rsid w:val="003C6D4E"/>
    <w:rsid w:val="003C72A6"/>
    <w:rsid w:val="003D06C8"/>
    <w:rsid w:val="003D0CA4"/>
    <w:rsid w:val="003D2641"/>
    <w:rsid w:val="003D3C7C"/>
    <w:rsid w:val="003D3FC5"/>
    <w:rsid w:val="003D65DE"/>
    <w:rsid w:val="003D7341"/>
    <w:rsid w:val="003E2567"/>
    <w:rsid w:val="003E2FF2"/>
    <w:rsid w:val="003E358A"/>
    <w:rsid w:val="003E46ED"/>
    <w:rsid w:val="003E69FB"/>
    <w:rsid w:val="003E6B5B"/>
    <w:rsid w:val="003F0B25"/>
    <w:rsid w:val="003F4931"/>
    <w:rsid w:val="003F54DE"/>
    <w:rsid w:val="0040154C"/>
    <w:rsid w:val="00404314"/>
    <w:rsid w:val="00404869"/>
    <w:rsid w:val="004065A1"/>
    <w:rsid w:val="0041403C"/>
    <w:rsid w:val="0041661D"/>
    <w:rsid w:val="00421308"/>
    <w:rsid w:val="004213AA"/>
    <w:rsid w:val="00422364"/>
    <w:rsid w:val="004233D7"/>
    <w:rsid w:val="004238D8"/>
    <w:rsid w:val="00426751"/>
    <w:rsid w:val="00430478"/>
    <w:rsid w:val="00430BB2"/>
    <w:rsid w:val="0043458C"/>
    <w:rsid w:val="0043786A"/>
    <w:rsid w:val="00442547"/>
    <w:rsid w:val="00443BD6"/>
    <w:rsid w:val="00452D3C"/>
    <w:rsid w:val="00453CB0"/>
    <w:rsid w:val="004561D6"/>
    <w:rsid w:val="00460F95"/>
    <w:rsid w:val="00463281"/>
    <w:rsid w:val="00470513"/>
    <w:rsid w:val="00472712"/>
    <w:rsid w:val="004759D6"/>
    <w:rsid w:val="0047760A"/>
    <w:rsid w:val="00477BEF"/>
    <w:rsid w:val="00481719"/>
    <w:rsid w:val="0048171B"/>
    <w:rsid w:val="00482242"/>
    <w:rsid w:val="004824E4"/>
    <w:rsid w:val="00482788"/>
    <w:rsid w:val="00482994"/>
    <w:rsid w:val="00482CB1"/>
    <w:rsid w:val="00482DE4"/>
    <w:rsid w:val="004904AB"/>
    <w:rsid w:val="00493141"/>
    <w:rsid w:val="00493D7A"/>
    <w:rsid w:val="0049467B"/>
    <w:rsid w:val="00495420"/>
    <w:rsid w:val="00496CA2"/>
    <w:rsid w:val="004A1D1A"/>
    <w:rsid w:val="004A50A4"/>
    <w:rsid w:val="004A6A96"/>
    <w:rsid w:val="004A70E2"/>
    <w:rsid w:val="004B0E0C"/>
    <w:rsid w:val="004B14CB"/>
    <w:rsid w:val="004B1814"/>
    <w:rsid w:val="004B5E7F"/>
    <w:rsid w:val="004C1962"/>
    <w:rsid w:val="004C1A5D"/>
    <w:rsid w:val="004C41EA"/>
    <w:rsid w:val="004C4B4E"/>
    <w:rsid w:val="004D0227"/>
    <w:rsid w:val="004D1C04"/>
    <w:rsid w:val="004D3EB6"/>
    <w:rsid w:val="004D5756"/>
    <w:rsid w:val="004D5766"/>
    <w:rsid w:val="004D733B"/>
    <w:rsid w:val="004E0D67"/>
    <w:rsid w:val="004E56F3"/>
    <w:rsid w:val="004E78F8"/>
    <w:rsid w:val="004F3CC9"/>
    <w:rsid w:val="004F40B5"/>
    <w:rsid w:val="004F5F69"/>
    <w:rsid w:val="004F7156"/>
    <w:rsid w:val="004F75F1"/>
    <w:rsid w:val="004F7A33"/>
    <w:rsid w:val="005010F4"/>
    <w:rsid w:val="00501CA4"/>
    <w:rsid w:val="00502C0C"/>
    <w:rsid w:val="00502CE6"/>
    <w:rsid w:val="00503767"/>
    <w:rsid w:val="00503FC7"/>
    <w:rsid w:val="00512EE3"/>
    <w:rsid w:val="005132A1"/>
    <w:rsid w:val="00514B74"/>
    <w:rsid w:val="005175B4"/>
    <w:rsid w:val="0052070E"/>
    <w:rsid w:val="00522349"/>
    <w:rsid w:val="005225E3"/>
    <w:rsid w:val="00523535"/>
    <w:rsid w:val="00524373"/>
    <w:rsid w:val="00525EB1"/>
    <w:rsid w:val="005265A6"/>
    <w:rsid w:val="00526DDE"/>
    <w:rsid w:val="00527423"/>
    <w:rsid w:val="00530EB8"/>
    <w:rsid w:val="005336CA"/>
    <w:rsid w:val="00534839"/>
    <w:rsid w:val="00542625"/>
    <w:rsid w:val="00543D8E"/>
    <w:rsid w:val="00544316"/>
    <w:rsid w:val="00545AAC"/>
    <w:rsid w:val="00553050"/>
    <w:rsid w:val="00553708"/>
    <w:rsid w:val="0055399C"/>
    <w:rsid w:val="00560A15"/>
    <w:rsid w:val="00561E86"/>
    <w:rsid w:val="00562CAA"/>
    <w:rsid w:val="00564DBE"/>
    <w:rsid w:val="005652CB"/>
    <w:rsid w:val="00565D65"/>
    <w:rsid w:val="0057195C"/>
    <w:rsid w:val="005726B5"/>
    <w:rsid w:val="00573508"/>
    <w:rsid w:val="00573DC6"/>
    <w:rsid w:val="0057752B"/>
    <w:rsid w:val="0058715B"/>
    <w:rsid w:val="005925BF"/>
    <w:rsid w:val="005928AF"/>
    <w:rsid w:val="00593000"/>
    <w:rsid w:val="00594575"/>
    <w:rsid w:val="0059572C"/>
    <w:rsid w:val="0059748E"/>
    <w:rsid w:val="005A3086"/>
    <w:rsid w:val="005B2660"/>
    <w:rsid w:val="005B2B81"/>
    <w:rsid w:val="005B4EC3"/>
    <w:rsid w:val="005C1841"/>
    <w:rsid w:val="005C548E"/>
    <w:rsid w:val="005C6AFD"/>
    <w:rsid w:val="005D0A49"/>
    <w:rsid w:val="005D2255"/>
    <w:rsid w:val="005D5147"/>
    <w:rsid w:val="005D7E0C"/>
    <w:rsid w:val="005E0C49"/>
    <w:rsid w:val="005E2004"/>
    <w:rsid w:val="005F1341"/>
    <w:rsid w:val="005F17ED"/>
    <w:rsid w:val="005F3179"/>
    <w:rsid w:val="005F538B"/>
    <w:rsid w:val="005F7B7D"/>
    <w:rsid w:val="0060318A"/>
    <w:rsid w:val="00604159"/>
    <w:rsid w:val="00611DBA"/>
    <w:rsid w:val="00621A73"/>
    <w:rsid w:val="00622E01"/>
    <w:rsid w:val="006278FD"/>
    <w:rsid w:val="00627B01"/>
    <w:rsid w:val="00630DF1"/>
    <w:rsid w:val="00636CE6"/>
    <w:rsid w:val="006370E8"/>
    <w:rsid w:val="0063745D"/>
    <w:rsid w:val="00640964"/>
    <w:rsid w:val="00643F1C"/>
    <w:rsid w:val="00647611"/>
    <w:rsid w:val="0065100A"/>
    <w:rsid w:val="0065474C"/>
    <w:rsid w:val="00655DC6"/>
    <w:rsid w:val="00657C4A"/>
    <w:rsid w:val="00660107"/>
    <w:rsid w:val="00660294"/>
    <w:rsid w:val="00664AC0"/>
    <w:rsid w:val="00665070"/>
    <w:rsid w:val="00665BEF"/>
    <w:rsid w:val="0067206A"/>
    <w:rsid w:val="006736C7"/>
    <w:rsid w:val="00676E3C"/>
    <w:rsid w:val="0068124E"/>
    <w:rsid w:val="00682E58"/>
    <w:rsid w:val="00685B77"/>
    <w:rsid w:val="00685DC0"/>
    <w:rsid w:val="006876F7"/>
    <w:rsid w:val="00690DE1"/>
    <w:rsid w:val="006929C2"/>
    <w:rsid w:val="00692B9D"/>
    <w:rsid w:val="006937CA"/>
    <w:rsid w:val="00693C01"/>
    <w:rsid w:val="00694462"/>
    <w:rsid w:val="00697B37"/>
    <w:rsid w:val="006A2031"/>
    <w:rsid w:val="006A6092"/>
    <w:rsid w:val="006A7587"/>
    <w:rsid w:val="006B17CC"/>
    <w:rsid w:val="006B2DB0"/>
    <w:rsid w:val="006B342E"/>
    <w:rsid w:val="006C526D"/>
    <w:rsid w:val="006C638C"/>
    <w:rsid w:val="006C72F7"/>
    <w:rsid w:val="006D29E9"/>
    <w:rsid w:val="006D2D80"/>
    <w:rsid w:val="006E1B4D"/>
    <w:rsid w:val="006E60AA"/>
    <w:rsid w:val="006E7C27"/>
    <w:rsid w:val="0070466C"/>
    <w:rsid w:val="00705804"/>
    <w:rsid w:val="007066EA"/>
    <w:rsid w:val="00712283"/>
    <w:rsid w:val="00712A97"/>
    <w:rsid w:val="007132BE"/>
    <w:rsid w:val="00720063"/>
    <w:rsid w:val="00721A00"/>
    <w:rsid w:val="00726759"/>
    <w:rsid w:val="007338AB"/>
    <w:rsid w:val="00741C04"/>
    <w:rsid w:val="0074225F"/>
    <w:rsid w:val="00742B85"/>
    <w:rsid w:val="0074337E"/>
    <w:rsid w:val="00746C5A"/>
    <w:rsid w:val="00751C46"/>
    <w:rsid w:val="0075496D"/>
    <w:rsid w:val="00756056"/>
    <w:rsid w:val="00756836"/>
    <w:rsid w:val="00760F9E"/>
    <w:rsid w:val="00763197"/>
    <w:rsid w:val="00765B7B"/>
    <w:rsid w:val="00767B1C"/>
    <w:rsid w:val="0077064B"/>
    <w:rsid w:val="007742DB"/>
    <w:rsid w:val="00776216"/>
    <w:rsid w:val="007779E1"/>
    <w:rsid w:val="00777F23"/>
    <w:rsid w:val="00783DD4"/>
    <w:rsid w:val="00784036"/>
    <w:rsid w:val="00785045"/>
    <w:rsid w:val="00790D8B"/>
    <w:rsid w:val="00792338"/>
    <w:rsid w:val="00793C0E"/>
    <w:rsid w:val="00795EC9"/>
    <w:rsid w:val="00796D0C"/>
    <w:rsid w:val="007A4488"/>
    <w:rsid w:val="007A4B64"/>
    <w:rsid w:val="007B07C4"/>
    <w:rsid w:val="007B52FE"/>
    <w:rsid w:val="007B5BE5"/>
    <w:rsid w:val="007B6F09"/>
    <w:rsid w:val="007B733E"/>
    <w:rsid w:val="007B77A0"/>
    <w:rsid w:val="007C080E"/>
    <w:rsid w:val="007C0BDE"/>
    <w:rsid w:val="007C2D33"/>
    <w:rsid w:val="007C54D8"/>
    <w:rsid w:val="007D020A"/>
    <w:rsid w:val="007D0ED1"/>
    <w:rsid w:val="007E06B1"/>
    <w:rsid w:val="007E177B"/>
    <w:rsid w:val="007E3447"/>
    <w:rsid w:val="007E4E08"/>
    <w:rsid w:val="007E5EC2"/>
    <w:rsid w:val="007F00CE"/>
    <w:rsid w:val="007F038F"/>
    <w:rsid w:val="007F16FA"/>
    <w:rsid w:val="007F19E2"/>
    <w:rsid w:val="007F2AB0"/>
    <w:rsid w:val="007F59BE"/>
    <w:rsid w:val="00801932"/>
    <w:rsid w:val="00801FEC"/>
    <w:rsid w:val="0080337B"/>
    <w:rsid w:val="00803622"/>
    <w:rsid w:val="00803D6C"/>
    <w:rsid w:val="0080479C"/>
    <w:rsid w:val="00805A6F"/>
    <w:rsid w:val="0080775E"/>
    <w:rsid w:val="00810F40"/>
    <w:rsid w:val="008119AF"/>
    <w:rsid w:val="00814A17"/>
    <w:rsid w:val="00814BE1"/>
    <w:rsid w:val="00817612"/>
    <w:rsid w:val="00821E87"/>
    <w:rsid w:val="00822468"/>
    <w:rsid w:val="00822D25"/>
    <w:rsid w:val="00823CD4"/>
    <w:rsid w:val="00824877"/>
    <w:rsid w:val="00826737"/>
    <w:rsid w:val="00830C31"/>
    <w:rsid w:val="00831C1D"/>
    <w:rsid w:val="008337F9"/>
    <w:rsid w:val="00834DA4"/>
    <w:rsid w:val="0083515C"/>
    <w:rsid w:val="00836371"/>
    <w:rsid w:val="00842EB8"/>
    <w:rsid w:val="008446BF"/>
    <w:rsid w:val="008452B6"/>
    <w:rsid w:val="0085087B"/>
    <w:rsid w:val="00850CD3"/>
    <w:rsid w:val="00850E3F"/>
    <w:rsid w:val="008601B4"/>
    <w:rsid w:val="00861954"/>
    <w:rsid w:val="0086255E"/>
    <w:rsid w:val="00862ED6"/>
    <w:rsid w:val="008639D5"/>
    <w:rsid w:val="00864061"/>
    <w:rsid w:val="00865DEB"/>
    <w:rsid w:val="00865EF6"/>
    <w:rsid w:val="00867B2D"/>
    <w:rsid w:val="00867DC7"/>
    <w:rsid w:val="0087445D"/>
    <w:rsid w:val="008746ED"/>
    <w:rsid w:val="00876560"/>
    <w:rsid w:val="0088106D"/>
    <w:rsid w:val="0088466C"/>
    <w:rsid w:val="008873BD"/>
    <w:rsid w:val="00892AEC"/>
    <w:rsid w:val="00895521"/>
    <w:rsid w:val="008B48E1"/>
    <w:rsid w:val="008B5149"/>
    <w:rsid w:val="008B67D4"/>
    <w:rsid w:val="008B6BD7"/>
    <w:rsid w:val="008C0E4C"/>
    <w:rsid w:val="008C1F6B"/>
    <w:rsid w:val="008C493D"/>
    <w:rsid w:val="008C5912"/>
    <w:rsid w:val="008C7018"/>
    <w:rsid w:val="008D016A"/>
    <w:rsid w:val="008D28B6"/>
    <w:rsid w:val="008D2FFA"/>
    <w:rsid w:val="008D3F07"/>
    <w:rsid w:val="008D6A72"/>
    <w:rsid w:val="008D6C76"/>
    <w:rsid w:val="008D6DD1"/>
    <w:rsid w:val="008D77E3"/>
    <w:rsid w:val="008E076D"/>
    <w:rsid w:val="008E2C46"/>
    <w:rsid w:val="008E51AC"/>
    <w:rsid w:val="008E53BD"/>
    <w:rsid w:val="008E5F27"/>
    <w:rsid w:val="008E6C7F"/>
    <w:rsid w:val="008E7025"/>
    <w:rsid w:val="008F08CE"/>
    <w:rsid w:val="008F288B"/>
    <w:rsid w:val="008F3705"/>
    <w:rsid w:val="008F400D"/>
    <w:rsid w:val="008F5A4B"/>
    <w:rsid w:val="008F5BDB"/>
    <w:rsid w:val="008F6A16"/>
    <w:rsid w:val="00901812"/>
    <w:rsid w:val="00902819"/>
    <w:rsid w:val="00906B9B"/>
    <w:rsid w:val="00907038"/>
    <w:rsid w:val="009072F5"/>
    <w:rsid w:val="0090732C"/>
    <w:rsid w:val="009107B1"/>
    <w:rsid w:val="009132D8"/>
    <w:rsid w:val="00913E63"/>
    <w:rsid w:val="00920665"/>
    <w:rsid w:val="009223B8"/>
    <w:rsid w:val="00923275"/>
    <w:rsid w:val="009259DE"/>
    <w:rsid w:val="00926C15"/>
    <w:rsid w:val="0093277C"/>
    <w:rsid w:val="00932A65"/>
    <w:rsid w:val="009338BD"/>
    <w:rsid w:val="00936955"/>
    <w:rsid w:val="009405EE"/>
    <w:rsid w:val="00940C2A"/>
    <w:rsid w:val="00942296"/>
    <w:rsid w:val="00947C2F"/>
    <w:rsid w:val="00956572"/>
    <w:rsid w:val="00957005"/>
    <w:rsid w:val="00960778"/>
    <w:rsid w:val="00964238"/>
    <w:rsid w:val="00967349"/>
    <w:rsid w:val="00972BC2"/>
    <w:rsid w:val="009730F4"/>
    <w:rsid w:val="0097370E"/>
    <w:rsid w:val="00983A66"/>
    <w:rsid w:val="0098407F"/>
    <w:rsid w:val="00984C47"/>
    <w:rsid w:val="00986F28"/>
    <w:rsid w:val="00990120"/>
    <w:rsid w:val="009937BE"/>
    <w:rsid w:val="00993F84"/>
    <w:rsid w:val="00995F2C"/>
    <w:rsid w:val="009972B7"/>
    <w:rsid w:val="00997BB4"/>
    <w:rsid w:val="009A16A6"/>
    <w:rsid w:val="009A22E8"/>
    <w:rsid w:val="009A3846"/>
    <w:rsid w:val="009A4108"/>
    <w:rsid w:val="009A62D1"/>
    <w:rsid w:val="009A6575"/>
    <w:rsid w:val="009A7003"/>
    <w:rsid w:val="009A7B79"/>
    <w:rsid w:val="009B1811"/>
    <w:rsid w:val="009B1847"/>
    <w:rsid w:val="009B1A0B"/>
    <w:rsid w:val="009B2495"/>
    <w:rsid w:val="009B28E0"/>
    <w:rsid w:val="009B2BFE"/>
    <w:rsid w:val="009B4CB7"/>
    <w:rsid w:val="009C74B1"/>
    <w:rsid w:val="009D241A"/>
    <w:rsid w:val="009D2C1A"/>
    <w:rsid w:val="009D2F91"/>
    <w:rsid w:val="009D654A"/>
    <w:rsid w:val="009E2604"/>
    <w:rsid w:val="009E6204"/>
    <w:rsid w:val="009E6E95"/>
    <w:rsid w:val="009F1727"/>
    <w:rsid w:val="009F29F3"/>
    <w:rsid w:val="009F2B42"/>
    <w:rsid w:val="009F58EC"/>
    <w:rsid w:val="009F69FA"/>
    <w:rsid w:val="00A000C6"/>
    <w:rsid w:val="00A02D77"/>
    <w:rsid w:val="00A034EC"/>
    <w:rsid w:val="00A04AAA"/>
    <w:rsid w:val="00A073B2"/>
    <w:rsid w:val="00A10E9C"/>
    <w:rsid w:val="00A15F52"/>
    <w:rsid w:val="00A168A0"/>
    <w:rsid w:val="00A17A37"/>
    <w:rsid w:val="00A17D2A"/>
    <w:rsid w:val="00A17D85"/>
    <w:rsid w:val="00A221EE"/>
    <w:rsid w:val="00A24C55"/>
    <w:rsid w:val="00A25AEE"/>
    <w:rsid w:val="00A27670"/>
    <w:rsid w:val="00A309BE"/>
    <w:rsid w:val="00A309E5"/>
    <w:rsid w:val="00A3234B"/>
    <w:rsid w:val="00A328FF"/>
    <w:rsid w:val="00A32F48"/>
    <w:rsid w:val="00A35AD5"/>
    <w:rsid w:val="00A3656F"/>
    <w:rsid w:val="00A372FF"/>
    <w:rsid w:val="00A37E29"/>
    <w:rsid w:val="00A434F8"/>
    <w:rsid w:val="00A435A3"/>
    <w:rsid w:val="00A43CA9"/>
    <w:rsid w:val="00A45BE0"/>
    <w:rsid w:val="00A4718C"/>
    <w:rsid w:val="00A53543"/>
    <w:rsid w:val="00A548FF"/>
    <w:rsid w:val="00A55A86"/>
    <w:rsid w:val="00A56A45"/>
    <w:rsid w:val="00A5749C"/>
    <w:rsid w:val="00A612F5"/>
    <w:rsid w:val="00A613E5"/>
    <w:rsid w:val="00A614FE"/>
    <w:rsid w:val="00A61D14"/>
    <w:rsid w:val="00A62352"/>
    <w:rsid w:val="00A63BFD"/>
    <w:rsid w:val="00A647FB"/>
    <w:rsid w:val="00A67A68"/>
    <w:rsid w:val="00A70366"/>
    <w:rsid w:val="00A70469"/>
    <w:rsid w:val="00A711F1"/>
    <w:rsid w:val="00A7299D"/>
    <w:rsid w:val="00A755A2"/>
    <w:rsid w:val="00A805D1"/>
    <w:rsid w:val="00A81D77"/>
    <w:rsid w:val="00A82DD2"/>
    <w:rsid w:val="00A84F3E"/>
    <w:rsid w:val="00A86FD9"/>
    <w:rsid w:val="00A91AA1"/>
    <w:rsid w:val="00A926D6"/>
    <w:rsid w:val="00A9304B"/>
    <w:rsid w:val="00A95099"/>
    <w:rsid w:val="00A95463"/>
    <w:rsid w:val="00AA1108"/>
    <w:rsid w:val="00AA27C1"/>
    <w:rsid w:val="00AA37D7"/>
    <w:rsid w:val="00AA58DA"/>
    <w:rsid w:val="00AB00D9"/>
    <w:rsid w:val="00AB1415"/>
    <w:rsid w:val="00AB2F0F"/>
    <w:rsid w:val="00AB6755"/>
    <w:rsid w:val="00AC1BB4"/>
    <w:rsid w:val="00AC1D40"/>
    <w:rsid w:val="00AC1DFA"/>
    <w:rsid w:val="00AC3230"/>
    <w:rsid w:val="00AC55D8"/>
    <w:rsid w:val="00AD2FB0"/>
    <w:rsid w:val="00AD3613"/>
    <w:rsid w:val="00AD36D4"/>
    <w:rsid w:val="00AD7439"/>
    <w:rsid w:val="00AE07A3"/>
    <w:rsid w:val="00AE0882"/>
    <w:rsid w:val="00AE3B03"/>
    <w:rsid w:val="00AE6E8C"/>
    <w:rsid w:val="00AF174D"/>
    <w:rsid w:val="00AF2537"/>
    <w:rsid w:val="00AF30DE"/>
    <w:rsid w:val="00AF375E"/>
    <w:rsid w:val="00AF59AB"/>
    <w:rsid w:val="00AF5D3D"/>
    <w:rsid w:val="00AF6379"/>
    <w:rsid w:val="00B00002"/>
    <w:rsid w:val="00B02D80"/>
    <w:rsid w:val="00B05125"/>
    <w:rsid w:val="00B05659"/>
    <w:rsid w:val="00B06D36"/>
    <w:rsid w:val="00B10D21"/>
    <w:rsid w:val="00B123AF"/>
    <w:rsid w:val="00B13481"/>
    <w:rsid w:val="00B15DA8"/>
    <w:rsid w:val="00B2249C"/>
    <w:rsid w:val="00B2296F"/>
    <w:rsid w:val="00B24070"/>
    <w:rsid w:val="00B2410D"/>
    <w:rsid w:val="00B26965"/>
    <w:rsid w:val="00B34440"/>
    <w:rsid w:val="00B3479E"/>
    <w:rsid w:val="00B40A83"/>
    <w:rsid w:val="00B41035"/>
    <w:rsid w:val="00B4214A"/>
    <w:rsid w:val="00B45E4E"/>
    <w:rsid w:val="00B46BCD"/>
    <w:rsid w:val="00B46CD8"/>
    <w:rsid w:val="00B473D0"/>
    <w:rsid w:val="00B50611"/>
    <w:rsid w:val="00B5238F"/>
    <w:rsid w:val="00B53C91"/>
    <w:rsid w:val="00B54C13"/>
    <w:rsid w:val="00B55FBB"/>
    <w:rsid w:val="00B55FCB"/>
    <w:rsid w:val="00B56359"/>
    <w:rsid w:val="00B56E65"/>
    <w:rsid w:val="00B57204"/>
    <w:rsid w:val="00B602F8"/>
    <w:rsid w:val="00B6091A"/>
    <w:rsid w:val="00B62B67"/>
    <w:rsid w:val="00B64ED8"/>
    <w:rsid w:val="00B65202"/>
    <w:rsid w:val="00B6645D"/>
    <w:rsid w:val="00B678A0"/>
    <w:rsid w:val="00B67FDB"/>
    <w:rsid w:val="00B7197E"/>
    <w:rsid w:val="00B71B92"/>
    <w:rsid w:val="00B71D8A"/>
    <w:rsid w:val="00B72C97"/>
    <w:rsid w:val="00B73460"/>
    <w:rsid w:val="00B73856"/>
    <w:rsid w:val="00B75F75"/>
    <w:rsid w:val="00B82B71"/>
    <w:rsid w:val="00B84FFE"/>
    <w:rsid w:val="00B8680B"/>
    <w:rsid w:val="00B91202"/>
    <w:rsid w:val="00B94426"/>
    <w:rsid w:val="00B9583D"/>
    <w:rsid w:val="00B96889"/>
    <w:rsid w:val="00BA1D93"/>
    <w:rsid w:val="00BA46BA"/>
    <w:rsid w:val="00BA6B76"/>
    <w:rsid w:val="00BA74C7"/>
    <w:rsid w:val="00BA7A30"/>
    <w:rsid w:val="00BA7D0B"/>
    <w:rsid w:val="00BB2266"/>
    <w:rsid w:val="00BB2772"/>
    <w:rsid w:val="00BB4667"/>
    <w:rsid w:val="00BB5CE0"/>
    <w:rsid w:val="00BB6631"/>
    <w:rsid w:val="00BB6646"/>
    <w:rsid w:val="00BB71A7"/>
    <w:rsid w:val="00BB742D"/>
    <w:rsid w:val="00BC09C4"/>
    <w:rsid w:val="00BC1CDB"/>
    <w:rsid w:val="00BC2193"/>
    <w:rsid w:val="00BC2BDA"/>
    <w:rsid w:val="00BC7715"/>
    <w:rsid w:val="00BC7E4F"/>
    <w:rsid w:val="00BD2193"/>
    <w:rsid w:val="00BD6044"/>
    <w:rsid w:val="00BD68D3"/>
    <w:rsid w:val="00BD699A"/>
    <w:rsid w:val="00BE2127"/>
    <w:rsid w:val="00BE4521"/>
    <w:rsid w:val="00BE79EA"/>
    <w:rsid w:val="00BE7F29"/>
    <w:rsid w:val="00BF0745"/>
    <w:rsid w:val="00BF251A"/>
    <w:rsid w:val="00BF3787"/>
    <w:rsid w:val="00BF52C3"/>
    <w:rsid w:val="00BF6371"/>
    <w:rsid w:val="00BF729B"/>
    <w:rsid w:val="00C00004"/>
    <w:rsid w:val="00C013CC"/>
    <w:rsid w:val="00C03C4E"/>
    <w:rsid w:val="00C047E4"/>
    <w:rsid w:val="00C04B83"/>
    <w:rsid w:val="00C057B2"/>
    <w:rsid w:val="00C057E7"/>
    <w:rsid w:val="00C07DC2"/>
    <w:rsid w:val="00C10809"/>
    <w:rsid w:val="00C12BEB"/>
    <w:rsid w:val="00C137BD"/>
    <w:rsid w:val="00C14F57"/>
    <w:rsid w:val="00C16AA3"/>
    <w:rsid w:val="00C16B2E"/>
    <w:rsid w:val="00C20EDC"/>
    <w:rsid w:val="00C2319A"/>
    <w:rsid w:val="00C2654F"/>
    <w:rsid w:val="00C26EE9"/>
    <w:rsid w:val="00C30FBB"/>
    <w:rsid w:val="00C31258"/>
    <w:rsid w:val="00C33926"/>
    <w:rsid w:val="00C339DC"/>
    <w:rsid w:val="00C35003"/>
    <w:rsid w:val="00C426D7"/>
    <w:rsid w:val="00C42A57"/>
    <w:rsid w:val="00C473A6"/>
    <w:rsid w:val="00C50BDB"/>
    <w:rsid w:val="00C53CF5"/>
    <w:rsid w:val="00C568A3"/>
    <w:rsid w:val="00C632AC"/>
    <w:rsid w:val="00C65C58"/>
    <w:rsid w:val="00C706AE"/>
    <w:rsid w:val="00C70CA3"/>
    <w:rsid w:val="00C7183C"/>
    <w:rsid w:val="00C71C0B"/>
    <w:rsid w:val="00C7223F"/>
    <w:rsid w:val="00C72C50"/>
    <w:rsid w:val="00C73791"/>
    <w:rsid w:val="00C74C29"/>
    <w:rsid w:val="00C75288"/>
    <w:rsid w:val="00C77348"/>
    <w:rsid w:val="00C77403"/>
    <w:rsid w:val="00C775B3"/>
    <w:rsid w:val="00C77FAC"/>
    <w:rsid w:val="00C81F8B"/>
    <w:rsid w:val="00C82E05"/>
    <w:rsid w:val="00C84358"/>
    <w:rsid w:val="00C85D4E"/>
    <w:rsid w:val="00C86A14"/>
    <w:rsid w:val="00C902F0"/>
    <w:rsid w:val="00C943C9"/>
    <w:rsid w:val="00CA069D"/>
    <w:rsid w:val="00CA0C99"/>
    <w:rsid w:val="00CA4C10"/>
    <w:rsid w:val="00CA7327"/>
    <w:rsid w:val="00CB0810"/>
    <w:rsid w:val="00CB0E44"/>
    <w:rsid w:val="00CB4BFA"/>
    <w:rsid w:val="00CB5BD4"/>
    <w:rsid w:val="00CB6C2A"/>
    <w:rsid w:val="00CC130B"/>
    <w:rsid w:val="00CC20C7"/>
    <w:rsid w:val="00CD324F"/>
    <w:rsid w:val="00CD533E"/>
    <w:rsid w:val="00CD54EF"/>
    <w:rsid w:val="00CD73CC"/>
    <w:rsid w:val="00CE0E51"/>
    <w:rsid w:val="00CE367A"/>
    <w:rsid w:val="00CE3CA7"/>
    <w:rsid w:val="00CE66E2"/>
    <w:rsid w:val="00CF0F6F"/>
    <w:rsid w:val="00CF2290"/>
    <w:rsid w:val="00CF2C09"/>
    <w:rsid w:val="00D24F1A"/>
    <w:rsid w:val="00D26A19"/>
    <w:rsid w:val="00D30629"/>
    <w:rsid w:val="00D30A9A"/>
    <w:rsid w:val="00D3223E"/>
    <w:rsid w:val="00D344F1"/>
    <w:rsid w:val="00D35970"/>
    <w:rsid w:val="00D35A78"/>
    <w:rsid w:val="00D406C0"/>
    <w:rsid w:val="00D419C9"/>
    <w:rsid w:val="00D443FC"/>
    <w:rsid w:val="00D456F3"/>
    <w:rsid w:val="00D457C4"/>
    <w:rsid w:val="00D468B4"/>
    <w:rsid w:val="00D525AB"/>
    <w:rsid w:val="00D6090A"/>
    <w:rsid w:val="00D60960"/>
    <w:rsid w:val="00D622A2"/>
    <w:rsid w:val="00D62978"/>
    <w:rsid w:val="00D663C7"/>
    <w:rsid w:val="00D67683"/>
    <w:rsid w:val="00D7008E"/>
    <w:rsid w:val="00D70C5E"/>
    <w:rsid w:val="00D72422"/>
    <w:rsid w:val="00D72D78"/>
    <w:rsid w:val="00D733A4"/>
    <w:rsid w:val="00D76F0B"/>
    <w:rsid w:val="00D844F7"/>
    <w:rsid w:val="00D847C0"/>
    <w:rsid w:val="00D91650"/>
    <w:rsid w:val="00D920A5"/>
    <w:rsid w:val="00D96913"/>
    <w:rsid w:val="00DA06E5"/>
    <w:rsid w:val="00DA5C84"/>
    <w:rsid w:val="00DA6497"/>
    <w:rsid w:val="00DB1CD8"/>
    <w:rsid w:val="00DB1FAF"/>
    <w:rsid w:val="00DB4084"/>
    <w:rsid w:val="00DB5202"/>
    <w:rsid w:val="00DC128D"/>
    <w:rsid w:val="00DC135A"/>
    <w:rsid w:val="00DC22AF"/>
    <w:rsid w:val="00DC573E"/>
    <w:rsid w:val="00DC65F0"/>
    <w:rsid w:val="00DC68D6"/>
    <w:rsid w:val="00DE1957"/>
    <w:rsid w:val="00DE19FB"/>
    <w:rsid w:val="00DE40AB"/>
    <w:rsid w:val="00DE4D68"/>
    <w:rsid w:val="00DE4EEE"/>
    <w:rsid w:val="00DF09AD"/>
    <w:rsid w:val="00DF0B20"/>
    <w:rsid w:val="00DF18DB"/>
    <w:rsid w:val="00DF2D65"/>
    <w:rsid w:val="00DF3EB3"/>
    <w:rsid w:val="00DF5E32"/>
    <w:rsid w:val="00E05EDC"/>
    <w:rsid w:val="00E06A7A"/>
    <w:rsid w:val="00E06C1D"/>
    <w:rsid w:val="00E070A3"/>
    <w:rsid w:val="00E156B6"/>
    <w:rsid w:val="00E162B5"/>
    <w:rsid w:val="00E16A7E"/>
    <w:rsid w:val="00E17361"/>
    <w:rsid w:val="00E17613"/>
    <w:rsid w:val="00E20CDD"/>
    <w:rsid w:val="00E20DE8"/>
    <w:rsid w:val="00E2152C"/>
    <w:rsid w:val="00E2156E"/>
    <w:rsid w:val="00E25CB1"/>
    <w:rsid w:val="00E3103E"/>
    <w:rsid w:val="00E31BFE"/>
    <w:rsid w:val="00E35C17"/>
    <w:rsid w:val="00E40D3F"/>
    <w:rsid w:val="00E4405C"/>
    <w:rsid w:val="00E44B08"/>
    <w:rsid w:val="00E51189"/>
    <w:rsid w:val="00E51F85"/>
    <w:rsid w:val="00E53C72"/>
    <w:rsid w:val="00E555EC"/>
    <w:rsid w:val="00E61612"/>
    <w:rsid w:val="00E647D0"/>
    <w:rsid w:val="00E649C8"/>
    <w:rsid w:val="00E70090"/>
    <w:rsid w:val="00E72097"/>
    <w:rsid w:val="00E7542B"/>
    <w:rsid w:val="00E870A8"/>
    <w:rsid w:val="00E872E9"/>
    <w:rsid w:val="00E90F01"/>
    <w:rsid w:val="00E91933"/>
    <w:rsid w:val="00E93282"/>
    <w:rsid w:val="00EA051D"/>
    <w:rsid w:val="00EA1D4F"/>
    <w:rsid w:val="00EA5B7A"/>
    <w:rsid w:val="00EA6437"/>
    <w:rsid w:val="00EA739B"/>
    <w:rsid w:val="00EA7CD7"/>
    <w:rsid w:val="00EB0023"/>
    <w:rsid w:val="00EB19EF"/>
    <w:rsid w:val="00EB1CC3"/>
    <w:rsid w:val="00EB1F39"/>
    <w:rsid w:val="00EB3640"/>
    <w:rsid w:val="00EB46AF"/>
    <w:rsid w:val="00EB650D"/>
    <w:rsid w:val="00EB74B0"/>
    <w:rsid w:val="00EB78A9"/>
    <w:rsid w:val="00EC039A"/>
    <w:rsid w:val="00EC072C"/>
    <w:rsid w:val="00EC1609"/>
    <w:rsid w:val="00EC16D0"/>
    <w:rsid w:val="00EC36A5"/>
    <w:rsid w:val="00EC5C06"/>
    <w:rsid w:val="00ED3063"/>
    <w:rsid w:val="00ED375A"/>
    <w:rsid w:val="00ED4817"/>
    <w:rsid w:val="00EE1557"/>
    <w:rsid w:val="00EE176C"/>
    <w:rsid w:val="00EE1F0A"/>
    <w:rsid w:val="00EE2A87"/>
    <w:rsid w:val="00EE3000"/>
    <w:rsid w:val="00EE50F1"/>
    <w:rsid w:val="00EE5353"/>
    <w:rsid w:val="00EE72B4"/>
    <w:rsid w:val="00EF100A"/>
    <w:rsid w:val="00EF231A"/>
    <w:rsid w:val="00EF3790"/>
    <w:rsid w:val="00EF7945"/>
    <w:rsid w:val="00F00E62"/>
    <w:rsid w:val="00F01556"/>
    <w:rsid w:val="00F044A4"/>
    <w:rsid w:val="00F04B07"/>
    <w:rsid w:val="00F077CD"/>
    <w:rsid w:val="00F11B4F"/>
    <w:rsid w:val="00F14AD7"/>
    <w:rsid w:val="00F15513"/>
    <w:rsid w:val="00F15F80"/>
    <w:rsid w:val="00F16261"/>
    <w:rsid w:val="00F16BD2"/>
    <w:rsid w:val="00F17542"/>
    <w:rsid w:val="00F216BE"/>
    <w:rsid w:val="00F21826"/>
    <w:rsid w:val="00F25817"/>
    <w:rsid w:val="00F25C23"/>
    <w:rsid w:val="00F31100"/>
    <w:rsid w:val="00F319B1"/>
    <w:rsid w:val="00F32B22"/>
    <w:rsid w:val="00F40954"/>
    <w:rsid w:val="00F40CCB"/>
    <w:rsid w:val="00F41027"/>
    <w:rsid w:val="00F415F1"/>
    <w:rsid w:val="00F42C64"/>
    <w:rsid w:val="00F45CE0"/>
    <w:rsid w:val="00F507AC"/>
    <w:rsid w:val="00F5122D"/>
    <w:rsid w:val="00F512C7"/>
    <w:rsid w:val="00F53EB8"/>
    <w:rsid w:val="00F60D4C"/>
    <w:rsid w:val="00F65E59"/>
    <w:rsid w:val="00F66B45"/>
    <w:rsid w:val="00F67D14"/>
    <w:rsid w:val="00F73978"/>
    <w:rsid w:val="00F74F02"/>
    <w:rsid w:val="00F7763F"/>
    <w:rsid w:val="00F82003"/>
    <w:rsid w:val="00F83336"/>
    <w:rsid w:val="00F85A5E"/>
    <w:rsid w:val="00F86B38"/>
    <w:rsid w:val="00F87035"/>
    <w:rsid w:val="00F873A2"/>
    <w:rsid w:val="00F920B7"/>
    <w:rsid w:val="00F9261F"/>
    <w:rsid w:val="00F92EE9"/>
    <w:rsid w:val="00F935B7"/>
    <w:rsid w:val="00F97F81"/>
    <w:rsid w:val="00FA1F63"/>
    <w:rsid w:val="00FA3766"/>
    <w:rsid w:val="00FB0B0D"/>
    <w:rsid w:val="00FB176E"/>
    <w:rsid w:val="00FB1E5B"/>
    <w:rsid w:val="00FB276C"/>
    <w:rsid w:val="00FB6C9D"/>
    <w:rsid w:val="00FB6FFC"/>
    <w:rsid w:val="00FC0A21"/>
    <w:rsid w:val="00FC3180"/>
    <w:rsid w:val="00FC36F3"/>
    <w:rsid w:val="00FC3F88"/>
    <w:rsid w:val="00FC43B0"/>
    <w:rsid w:val="00FC466B"/>
    <w:rsid w:val="00FC73FE"/>
    <w:rsid w:val="00FD0EDC"/>
    <w:rsid w:val="00FD1EC1"/>
    <w:rsid w:val="00FD2A74"/>
    <w:rsid w:val="00FD2FCB"/>
    <w:rsid w:val="00FD3BF8"/>
    <w:rsid w:val="00FD4B67"/>
    <w:rsid w:val="00FD7871"/>
    <w:rsid w:val="00FD7FFD"/>
    <w:rsid w:val="00FE24E5"/>
    <w:rsid w:val="00FE26CD"/>
    <w:rsid w:val="00FE4DD2"/>
    <w:rsid w:val="00FE603B"/>
    <w:rsid w:val="00FF07B3"/>
    <w:rsid w:val="00FF1026"/>
    <w:rsid w:val="00FF2DA2"/>
    <w:rsid w:val="00FF2EA6"/>
    <w:rsid w:val="00FF5E58"/>
    <w:rsid w:val="00FF6706"/>
    <w:rsid w:val="00FF74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654A"/>
    <w:pPr>
      <w:spacing w:line="360" w:lineRule="auto"/>
    </w:pPr>
    <w:rPr>
      <w:sz w:val="28"/>
    </w:rPr>
  </w:style>
  <w:style w:type="paragraph" w:styleId="Nadpis1">
    <w:name w:val="heading 1"/>
    <w:basedOn w:val="Normln"/>
    <w:next w:val="Normln"/>
    <w:link w:val="Nadpis1Char"/>
    <w:uiPriority w:val="9"/>
    <w:qFormat/>
    <w:rsid w:val="00783DD4"/>
    <w:pPr>
      <w:keepNext/>
      <w:keepLines/>
      <w:pBdr>
        <w:bottom w:val="single" w:sz="24" w:space="1" w:color="26967E" w:themeColor="text1"/>
      </w:pBdr>
      <w:spacing w:before="400" w:line="240" w:lineRule="auto"/>
      <w:outlineLvl w:val="0"/>
    </w:pPr>
    <w:rPr>
      <w:rFonts w:asciiTheme="majorHAnsi" w:eastAsiaTheme="majorEastAsia" w:hAnsiTheme="majorHAnsi" w:cstheme="majorBidi"/>
      <w:b/>
      <w:bCs/>
      <w:color w:val="26967E" w:themeColor="text1"/>
      <w:sz w:val="56"/>
      <w:szCs w:val="28"/>
    </w:rPr>
  </w:style>
  <w:style w:type="paragraph" w:styleId="Nadpis2">
    <w:name w:val="heading 2"/>
    <w:basedOn w:val="Normln"/>
    <w:next w:val="Normln"/>
    <w:link w:val="Nadpis2Char"/>
    <w:uiPriority w:val="9"/>
    <w:unhideWhenUsed/>
    <w:qFormat/>
    <w:rsid w:val="00783DD4"/>
    <w:pPr>
      <w:keepNext/>
      <w:keepLines/>
      <w:pBdr>
        <w:bottom w:val="single" w:sz="24" w:space="1" w:color="00B5AC" w:themeColor="text2"/>
      </w:pBdr>
      <w:spacing w:before="300" w:line="240" w:lineRule="auto"/>
      <w:outlineLvl w:val="1"/>
    </w:pPr>
    <w:rPr>
      <w:rFonts w:asciiTheme="majorHAnsi" w:eastAsiaTheme="majorEastAsia" w:hAnsiTheme="majorHAnsi" w:cstheme="majorBidi"/>
      <w:b/>
      <w:bCs/>
      <w:color w:val="00B5AC" w:themeColor="text2"/>
      <w:sz w:val="44"/>
      <w:szCs w:val="26"/>
    </w:rPr>
  </w:style>
  <w:style w:type="paragraph" w:styleId="Nadpis3">
    <w:name w:val="heading 3"/>
    <w:basedOn w:val="Normln"/>
    <w:next w:val="Normln"/>
    <w:link w:val="Nadpis3Char"/>
    <w:uiPriority w:val="9"/>
    <w:unhideWhenUsed/>
    <w:qFormat/>
    <w:rsid w:val="00783DD4"/>
    <w:pPr>
      <w:keepNext/>
      <w:keepLines/>
      <w:spacing w:before="200" w:after="0" w:line="240" w:lineRule="auto"/>
      <w:outlineLvl w:val="2"/>
    </w:pPr>
    <w:rPr>
      <w:rFonts w:asciiTheme="majorHAnsi" w:eastAsiaTheme="majorEastAsia" w:hAnsiTheme="majorHAnsi" w:cstheme="majorBidi"/>
      <w:b/>
      <w:bCs/>
      <w:color w:val="E7C452" w:themeColor="accent1"/>
      <w:sz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7223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7223F"/>
  </w:style>
  <w:style w:type="paragraph" w:styleId="Zpat">
    <w:name w:val="footer"/>
    <w:basedOn w:val="Normln"/>
    <w:link w:val="ZpatChar"/>
    <w:uiPriority w:val="99"/>
    <w:unhideWhenUsed/>
    <w:rsid w:val="00C7223F"/>
    <w:pPr>
      <w:tabs>
        <w:tab w:val="center" w:pos="4536"/>
        <w:tab w:val="right" w:pos="9072"/>
      </w:tabs>
      <w:spacing w:after="0" w:line="240" w:lineRule="auto"/>
    </w:pPr>
  </w:style>
  <w:style w:type="character" w:customStyle="1" w:styleId="ZpatChar">
    <w:name w:val="Zápatí Char"/>
    <w:basedOn w:val="Standardnpsmoodstavce"/>
    <w:link w:val="Zpat"/>
    <w:uiPriority w:val="99"/>
    <w:rsid w:val="00C7223F"/>
  </w:style>
  <w:style w:type="paragraph" w:styleId="Textbubliny">
    <w:name w:val="Balloon Text"/>
    <w:basedOn w:val="Normln"/>
    <w:link w:val="TextbublinyChar"/>
    <w:uiPriority w:val="99"/>
    <w:semiHidden/>
    <w:unhideWhenUsed/>
    <w:rsid w:val="00C7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223F"/>
    <w:rPr>
      <w:rFonts w:ascii="Tahoma" w:hAnsi="Tahoma" w:cs="Tahoma"/>
      <w:sz w:val="16"/>
      <w:szCs w:val="16"/>
    </w:rPr>
  </w:style>
  <w:style w:type="paragraph" w:styleId="Nzev">
    <w:name w:val="Title"/>
    <w:basedOn w:val="Normln"/>
    <w:next w:val="Normln"/>
    <w:link w:val="NzevChar"/>
    <w:uiPriority w:val="10"/>
    <w:qFormat/>
    <w:rsid w:val="009D654A"/>
    <w:pPr>
      <w:pBdr>
        <w:bottom w:val="single" w:sz="8" w:space="4" w:color="E7C452" w:themeColor="accent1"/>
      </w:pBdr>
      <w:spacing w:after="300" w:line="240" w:lineRule="auto"/>
      <w:contextualSpacing/>
    </w:pPr>
    <w:rPr>
      <w:rFonts w:asciiTheme="majorHAnsi" w:eastAsiaTheme="majorEastAsia" w:hAnsiTheme="majorHAnsi" w:cstheme="majorBidi"/>
      <w:color w:val="008780" w:themeColor="text2" w:themeShade="BF"/>
      <w:spacing w:val="5"/>
      <w:kern w:val="28"/>
      <w:sz w:val="144"/>
      <w:szCs w:val="52"/>
      <w:u w:val="single"/>
    </w:rPr>
  </w:style>
  <w:style w:type="character" w:customStyle="1" w:styleId="NzevChar">
    <w:name w:val="Název Char"/>
    <w:basedOn w:val="Standardnpsmoodstavce"/>
    <w:link w:val="Nzev"/>
    <w:uiPriority w:val="10"/>
    <w:rsid w:val="009D654A"/>
    <w:rPr>
      <w:rFonts w:asciiTheme="majorHAnsi" w:eastAsiaTheme="majorEastAsia" w:hAnsiTheme="majorHAnsi" w:cstheme="majorBidi"/>
      <w:color w:val="008780" w:themeColor="text2" w:themeShade="BF"/>
      <w:spacing w:val="5"/>
      <w:kern w:val="28"/>
      <w:sz w:val="144"/>
      <w:szCs w:val="52"/>
      <w:u w:val="single"/>
    </w:rPr>
  </w:style>
  <w:style w:type="paragraph" w:styleId="Podtitul">
    <w:name w:val="Subtitle"/>
    <w:basedOn w:val="Normln"/>
    <w:next w:val="Normln"/>
    <w:link w:val="PodtitulChar"/>
    <w:uiPriority w:val="11"/>
    <w:qFormat/>
    <w:rsid w:val="009D654A"/>
    <w:pPr>
      <w:numPr>
        <w:ilvl w:val="1"/>
      </w:numPr>
      <w:spacing w:line="240" w:lineRule="auto"/>
      <w:jc w:val="center"/>
    </w:pPr>
    <w:rPr>
      <w:rFonts w:ascii="Proxima Nova Rg" w:eastAsiaTheme="majorEastAsia" w:hAnsi="Proxima Nova Rg" w:cstheme="majorBidi"/>
      <w:iCs/>
      <w:color w:val="FFFFFF" w:themeColor="background1"/>
      <w:spacing w:val="15"/>
      <w:sz w:val="36"/>
      <w:szCs w:val="24"/>
    </w:rPr>
  </w:style>
  <w:style w:type="character" w:customStyle="1" w:styleId="PodtitulChar">
    <w:name w:val="Podtitul Char"/>
    <w:basedOn w:val="Standardnpsmoodstavce"/>
    <w:link w:val="Podtitul"/>
    <w:uiPriority w:val="11"/>
    <w:rsid w:val="009D654A"/>
    <w:rPr>
      <w:rFonts w:ascii="Proxima Nova Rg" w:eastAsiaTheme="majorEastAsia" w:hAnsi="Proxima Nova Rg" w:cstheme="majorBidi"/>
      <w:iCs/>
      <w:color w:val="FFFFFF" w:themeColor="background1"/>
      <w:spacing w:val="15"/>
      <w:sz w:val="36"/>
      <w:szCs w:val="24"/>
    </w:rPr>
  </w:style>
  <w:style w:type="character" w:customStyle="1" w:styleId="Nadpis1Char">
    <w:name w:val="Nadpis 1 Char"/>
    <w:basedOn w:val="Standardnpsmoodstavce"/>
    <w:link w:val="Nadpis1"/>
    <w:uiPriority w:val="9"/>
    <w:rsid w:val="00783DD4"/>
    <w:rPr>
      <w:rFonts w:asciiTheme="majorHAnsi" w:eastAsiaTheme="majorEastAsia" w:hAnsiTheme="majorHAnsi" w:cstheme="majorBidi"/>
      <w:b/>
      <w:bCs/>
      <w:color w:val="26967E" w:themeColor="text1"/>
      <w:sz w:val="56"/>
      <w:szCs w:val="28"/>
    </w:rPr>
  </w:style>
  <w:style w:type="character" w:customStyle="1" w:styleId="Nadpis2Char">
    <w:name w:val="Nadpis 2 Char"/>
    <w:basedOn w:val="Standardnpsmoodstavce"/>
    <w:link w:val="Nadpis2"/>
    <w:uiPriority w:val="9"/>
    <w:rsid w:val="00783DD4"/>
    <w:rPr>
      <w:rFonts w:asciiTheme="majorHAnsi" w:eastAsiaTheme="majorEastAsia" w:hAnsiTheme="majorHAnsi" w:cstheme="majorBidi"/>
      <w:b/>
      <w:bCs/>
      <w:color w:val="00B5AC" w:themeColor="text2"/>
      <w:sz w:val="44"/>
      <w:szCs w:val="26"/>
    </w:rPr>
  </w:style>
  <w:style w:type="character" w:customStyle="1" w:styleId="Nadpis3Char">
    <w:name w:val="Nadpis 3 Char"/>
    <w:basedOn w:val="Standardnpsmoodstavce"/>
    <w:link w:val="Nadpis3"/>
    <w:uiPriority w:val="9"/>
    <w:rsid w:val="00783DD4"/>
    <w:rPr>
      <w:rFonts w:asciiTheme="majorHAnsi" w:eastAsiaTheme="majorEastAsia" w:hAnsiTheme="majorHAnsi" w:cstheme="majorBidi"/>
      <w:b/>
      <w:bCs/>
      <w:color w:val="E7C452" w:themeColor="accent1"/>
      <w:sz w:val="36"/>
    </w:rPr>
  </w:style>
  <w:style w:type="paragraph" w:styleId="Odstavecseseznamem">
    <w:name w:val="List Paragraph"/>
    <w:basedOn w:val="Normln"/>
    <w:uiPriority w:val="34"/>
    <w:qFormat/>
    <w:rsid w:val="00783DD4"/>
    <w:pPr>
      <w:ind w:left="720"/>
      <w:contextualSpacing/>
    </w:pPr>
  </w:style>
  <w:style w:type="paragraph" w:styleId="Normlnweb">
    <w:name w:val="Normal (Web)"/>
    <w:basedOn w:val="Normln"/>
    <w:uiPriority w:val="99"/>
    <w:unhideWhenUsed/>
    <w:rsid w:val="004A6A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4A6A96"/>
    <w:rPr>
      <w:i/>
      <w:iCs/>
    </w:rPr>
  </w:style>
  <w:style w:type="character" w:styleId="Siln">
    <w:name w:val="Strong"/>
    <w:basedOn w:val="Standardnpsmoodstavce"/>
    <w:uiPriority w:val="22"/>
    <w:qFormat/>
    <w:rsid w:val="004A6A96"/>
    <w:rPr>
      <w:b/>
      <w:bCs/>
    </w:rPr>
  </w:style>
  <w:style w:type="character" w:customStyle="1" w:styleId="apple-converted-space">
    <w:name w:val="apple-converted-space"/>
    <w:basedOn w:val="Standardnpsmoodstavce"/>
    <w:rsid w:val="004A6A96"/>
  </w:style>
  <w:style w:type="character" w:styleId="Hypertextovodkaz">
    <w:name w:val="Hyperlink"/>
    <w:basedOn w:val="Standardnpsmoodstavce"/>
    <w:uiPriority w:val="99"/>
    <w:unhideWhenUsed/>
    <w:rsid w:val="009A22E8"/>
    <w:rPr>
      <w:color w:val="145043"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54A"/>
    <w:pPr>
      <w:spacing w:line="360" w:lineRule="auto"/>
    </w:pPr>
    <w:rPr>
      <w:sz w:val="28"/>
    </w:rPr>
  </w:style>
  <w:style w:type="paragraph" w:styleId="Heading1">
    <w:name w:val="heading 1"/>
    <w:basedOn w:val="Normal"/>
    <w:next w:val="Normal"/>
    <w:link w:val="Heading1Char"/>
    <w:uiPriority w:val="9"/>
    <w:qFormat/>
    <w:rsid w:val="00783DD4"/>
    <w:pPr>
      <w:keepNext/>
      <w:keepLines/>
      <w:pBdr>
        <w:bottom w:val="single" w:sz="24" w:space="1" w:color="26967E" w:themeColor="text1"/>
      </w:pBdr>
      <w:spacing w:before="400" w:line="240" w:lineRule="auto"/>
      <w:outlineLvl w:val="0"/>
    </w:pPr>
    <w:rPr>
      <w:rFonts w:asciiTheme="majorHAnsi" w:eastAsiaTheme="majorEastAsia" w:hAnsiTheme="majorHAnsi" w:cstheme="majorBidi"/>
      <w:b/>
      <w:bCs/>
      <w:color w:val="26967E" w:themeColor="text1"/>
      <w:sz w:val="56"/>
      <w:szCs w:val="28"/>
    </w:rPr>
  </w:style>
  <w:style w:type="paragraph" w:styleId="Heading2">
    <w:name w:val="heading 2"/>
    <w:basedOn w:val="Normal"/>
    <w:next w:val="Normal"/>
    <w:link w:val="Heading2Char"/>
    <w:uiPriority w:val="9"/>
    <w:unhideWhenUsed/>
    <w:qFormat/>
    <w:rsid w:val="00783DD4"/>
    <w:pPr>
      <w:keepNext/>
      <w:keepLines/>
      <w:pBdr>
        <w:bottom w:val="single" w:sz="24" w:space="1" w:color="00B5AC" w:themeColor="text2"/>
      </w:pBdr>
      <w:spacing w:before="300" w:line="240" w:lineRule="auto"/>
      <w:outlineLvl w:val="1"/>
    </w:pPr>
    <w:rPr>
      <w:rFonts w:asciiTheme="majorHAnsi" w:eastAsiaTheme="majorEastAsia" w:hAnsiTheme="majorHAnsi" w:cstheme="majorBidi"/>
      <w:b/>
      <w:bCs/>
      <w:color w:val="00B5AC" w:themeColor="text2"/>
      <w:sz w:val="44"/>
      <w:szCs w:val="26"/>
    </w:rPr>
  </w:style>
  <w:style w:type="paragraph" w:styleId="Heading3">
    <w:name w:val="heading 3"/>
    <w:basedOn w:val="Normal"/>
    <w:next w:val="Normal"/>
    <w:link w:val="Heading3Char"/>
    <w:uiPriority w:val="9"/>
    <w:unhideWhenUsed/>
    <w:qFormat/>
    <w:rsid w:val="00783DD4"/>
    <w:pPr>
      <w:keepNext/>
      <w:keepLines/>
      <w:spacing w:before="200" w:after="0" w:line="240" w:lineRule="auto"/>
      <w:outlineLvl w:val="2"/>
    </w:pPr>
    <w:rPr>
      <w:rFonts w:asciiTheme="majorHAnsi" w:eastAsiaTheme="majorEastAsia" w:hAnsiTheme="majorHAnsi" w:cstheme="majorBidi"/>
      <w:b/>
      <w:bCs/>
      <w:color w:val="E7C452" w:themeColor="accen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23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7223F"/>
  </w:style>
  <w:style w:type="paragraph" w:styleId="Footer">
    <w:name w:val="footer"/>
    <w:basedOn w:val="Normal"/>
    <w:link w:val="FooterChar"/>
    <w:uiPriority w:val="99"/>
    <w:unhideWhenUsed/>
    <w:rsid w:val="00C7223F"/>
    <w:pPr>
      <w:tabs>
        <w:tab w:val="center" w:pos="4536"/>
        <w:tab w:val="right" w:pos="9072"/>
      </w:tabs>
      <w:spacing w:after="0" w:line="240" w:lineRule="auto"/>
    </w:pPr>
  </w:style>
  <w:style w:type="character" w:customStyle="1" w:styleId="FooterChar">
    <w:name w:val="Footer Char"/>
    <w:basedOn w:val="DefaultParagraphFont"/>
    <w:link w:val="Footer"/>
    <w:uiPriority w:val="99"/>
    <w:rsid w:val="00C7223F"/>
  </w:style>
  <w:style w:type="paragraph" w:styleId="BalloonText">
    <w:name w:val="Balloon Text"/>
    <w:basedOn w:val="Normal"/>
    <w:link w:val="BalloonTextChar"/>
    <w:uiPriority w:val="99"/>
    <w:semiHidden/>
    <w:unhideWhenUsed/>
    <w:rsid w:val="00C722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223F"/>
    <w:rPr>
      <w:rFonts w:ascii="Tahoma" w:hAnsi="Tahoma" w:cs="Tahoma"/>
      <w:sz w:val="16"/>
      <w:szCs w:val="16"/>
    </w:rPr>
  </w:style>
  <w:style w:type="paragraph" w:styleId="Title">
    <w:name w:val="Title"/>
    <w:basedOn w:val="Normal"/>
    <w:next w:val="Normal"/>
    <w:link w:val="TitleChar"/>
    <w:uiPriority w:val="10"/>
    <w:qFormat/>
    <w:rsid w:val="009D654A"/>
    <w:pPr>
      <w:pBdr>
        <w:bottom w:val="single" w:sz="8" w:space="4" w:color="E7C452" w:themeColor="accent1"/>
      </w:pBdr>
      <w:spacing w:after="300" w:line="240" w:lineRule="auto"/>
      <w:contextualSpacing/>
    </w:pPr>
    <w:rPr>
      <w:rFonts w:asciiTheme="majorHAnsi" w:eastAsiaTheme="majorEastAsia" w:hAnsiTheme="majorHAnsi" w:cstheme="majorBidi"/>
      <w:color w:val="008780" w:themeColor="text2" w:themeShade="BF"/>
      <w:spacing w:val="5"/>
      <w:kern w:val="28"/>
      <w:sz w:val="144"/>
      <w:szCs w:val="52"/>
      <w:u w:val="single"/>
    </w:rPr>
  </w:style>
  <w:style w:type="character" w:customStyle="1" w:styleId="TitleChar">
    <w:name w:val="Title Char"/>
    <w:basedOn w:val="DefaultParagraphFont"/>
    <w:link w:val="Title"/>
    <w:uiPriority w:val="10"/>
    <w:rsid w:val="009D654A"/>
    <w:rPr>
      <w:rFonts w:asciiTheme="majorHAnsi" w:eastAsiaTheme="majorEastAsia" w:hAnsiTheme="majorHAnsi" w:cstheme="majorBidi"/>
      <w:color w:val="008780" w:themeColor="text2" w:themeShade="BF"/>
      <w:spacing w:val="5"/>
      <w:kern w:val="28"/>
      <w:sz w:val="144"/>
      <w:szCs w:val="52"/>
      <w:u w:val="single"/>
    </w:rPr>
  </w:style>
  <w:style w:type="paragraph" w:styleId="Subtitle">
    <w:name w:val="Subtitle"/>
    <w:basedOn w:val="Normal"/>
    <w:next w:val="Normal"/>
    <w:link w:val="SubtitleChar"/>
    <w:uiPriority w:val="11"/>
    <w:qFormat/>
    <w:rsid w:val="009D654A"/>
    <w:pPr>
      <w:numPr>
        <w:ilvl w:val="1"/>
      </w:numPr>
      <w:spacing w:line="240" w:lineRule="auto"/>
      <w:jc w:val="center"/>
    </w:pPr>
    <w:rPr>
      <w:rFonts w:ascii="Proxima Nova Rg" w:eastAsiaTheme="majorEastAsia" w:hAnsi="Proxima Nova Rg" w:cstheme="majorBidi"/>
      <w:iCs/>
      <w:color w:val="FFFFFF" w:themeColor="background1"/>
      <w:spacing w:val="15"/>
      <w:sz w:val="36"/>
      <w:szCs w:val="24"/>
    </w:rPr>
  </w:style>
  <w:style w:type="character" w:customStyle="1" w:styleId="SubtitleChar">
    <w:name w:val="Subtitle Char"/>
    <w:basedOn w:val="DefaultParagraphFont"/>
    <w:link w:val="Subtitle"/>
    <w:uiPriority w:val="11"/>
    <w:rsid w:val="009D654A"/>
    <w:rPr>
      <w:rFonts w:ascii="Proxima Nova Rg" w:eastAsiaTheme="majorEastAsia" w:hAnsi="Proxima Nova Rg" w:cstheme="majorBidi"/>
      <w:iCs/>
      <w:color w:val="FFFFFF" w:themeColor="background1"/>
      <w:spacing w:val="15"/>
      <w:sz w:val="36"/>
      <w:szCs w:val="24"/>
    </w:rPr>
  </w:style>
  <w:style w:type="character" w:customStyle="1" w:styleId="Heading1Char">
    <w:name w:val="Heading 1 Char"/>
    <w:basedOn w:val="DefaultParagraphFont"/>
    <w:link w:val="Heading1"/>
    <w:uiPriority w:val="9"/>
    <w:rsid w:val="00783DD4"/>
    <w:rPr>
      <w:rFonts w:asciiTheme="majorHAnsi" w:eastAsiaTheme="majorEastAsia" w:hAnsiTheme="majorHAnsi" w:cstheme="majorBidi"/>
      <w:b/>
      <w:bCs/>
      <w:color w:val="26967E" w:themeColor="text1"/>
      <w:sz w:val="56"/>
      <w:szCs w:val="28"/>
    </w:rPr>
  </w:style>
  <w:style w:type="character" w:customStyle="1" w:styleId="Heading2Char">
    <w:name w:val="Heading 2 Char"/>
    <w:basedOn w:val="DefaultParagraphFont"/>
    <w:link w:val="Heading2"/>
    <w:uiPriority w:val="9"/>
    <w:rsid w:val="00783DD4"/>
    <w:rPr>
      <w:rFonts w:asciiTheme="majorHAnsi" w:eastAsiaTheme="majorEastAsia" w:hAnsiTheme="majorHAnsi" w:cstheme="majorBidi"/>
      <w:b/>
      <w:bCs/>
      <w:color w:val="00B5AC" w:themeColor="text2"/>
      <w:sz w:val="44"/>
      <w:szCs w:val="26"/>
    </w:rPr>
  </w:style>
  <w:style w:type="character" w:customStyle="1" w:styleId="Heading3Char">
    <w:name w:val="Heading 3 Char"/>
    <w:basedOn w:val="DefaultParagraphFont"/>
    <w:link w:val="Heading3"/>
    <w:uiPriority w:val="9"/>
    <w:rsid w:val="00783DD4"/>
    <w:rPr>
      <w:rFonts w:asciiTheme="majorHAnsi" w:eastAsiaTheme="majorEastAsia" w:hAnsiTheme="majorHAnsi" w:cstheme="majorBidi"/>
      <w:b/>
      <w:bCs/>
      <w:color w:val="E7C452" w:themeColor="accent1"/>
      <w:sz w:val="36"/>
    </w:rPr>
  </w:style>
  <w:style w:type="paragraph" w:styleId="ListParagraph">
    <w:name w:val="List Paragraph"/>
    <w:basedOn w:val="Normal"/>
    <w:uiPriority w:val="34"/>
    <w:qFormat/>
    <w:rsid w:val="00783DD4"/>
    <w:pPr>
      <w:ind w:left="720"/>
      <w:contextualSpacing/>
    </w:pPr>
  </w:style>
</w:styles>
</file>

<file path=word/webSettings.xml><?xml version="1.0" encoding="utf-8"?>
<w:webSettings xmlns:r="http://schemas.openxmlformats.org/officeDocument/2006/relationships" xmlns:w="http://schemas.openxmlformats.org/wordprocessingml/2006/main">
  <w:divs>
    <w:div w:id="44722388">
      <w:bodyDiv w:val="1"/>
      <w:marLeft w:val="0"/>
      <w:marRight w:val="0"/>
      <w:marTop w:val="0"/>
      <w:marBottom w:val="0"/>
      <w:divBdr>
        <w:top w:val="none" w:sz="0" w:space="0" w:color="auto"/>
        <w:left w:val="none" w:sz="0" w:space="0" w:color="auto"/>
        <w:bottom w:val="none" w:sz="0" w:space="0" w:color="auto"/>
        <w:right w:val="none" w:sz="0" w:space="0" w:color="auto"/>
      </w:divBdr>
      <w:divsChild>
        <w:div w:id="42606060">
          <w:marLeft w:val="0"/>
          <w:marRight w:val="0"/>
          <w:marTop w:val="0"/>
          <w:marBottom w:val="600"/>
          <w:divBdr>
            <w:top w:val="none" w:sz="0" w:space="0" w:color="auto"/>
            <w:left w:val="none" w:sz="0" w:space="0" w:color="auto"/>
            <w:bottom w:val="none" w:sz="0" w:space="0" w:color="auto"/>
            <w:right w:val="none" w:sz="0" w:space="0" w:color="auto"/>
          </w:divBdr>
        </w:div>
        <w:div w:id="106244903">
          <w:marLeft w:val="0"/>
          <w:marRight w:val="0"/>
          <w:marTop w:val="0"/>
          <w:marBottom w:val="600"/>
          <w:divBdr>
            <w:top w:val="none" w:sz="0" w:space="0" w:color="auto"/>
            <w:left w:val="none" w:sz="0" w:space="0" w:color="auto"/>
            <w:bottom w:val="none" w:sz="0" w:space="0" w:color="auto"/>
            <w:right w:val="none" w:sz="0" w:space="0" w:color="auto"/>
          </w:divBdr>
        </w:div>
      </w:divsChild>
    </w:div>
    <w:div w:id="216859123">
      <w:bodyDiv w:val="1"/>
      <w:marLeft w:val="0"/>
      <w:marRight w:val="0"/>
      <w:marTop w:val="0"/>
      <w:marBottom w:val="0"/>
      <w:divBdr>
        <w:top w:val="none" w:sz="0" w:space="0" w:color="auto"/>
        <w:left w:val="none" w:sz="0" w:space="0" w:color="auto"/>
        <w:bottom w:val="none" w:sz="0" w:space="0" w:color="auto"/>
        <w:right w:val="none" w:sz="0" w:space="0" w:color="auto"/>
      </w:divBdr>
    </w:div>
    <w:div w:id="564224345">
      <w:bodyDiv w:val="1"/>
      <w:marLeft w:val="0"/>
      <w:marRight w:val="0"/>
      <w:marTop w:val="0"/>
      <w:marBottom w:val="0"/>
      <w:divBdr>
        <w:top w:val="none" w:sz="0" w:space="0" w:color="auto"/>
        <w:left w:val="none" w:sz="0" w:space="0" w:color="auto"/>
        <w:bottom w:val="none" w:sz="0" w:space="0" w:color="auto"/>
        <w:right w:val="none" w:sz="0" w:space="0" w:color="auto"/>
      </w:divBdr>
    </w:div>
    <w:div w:id="615908442">
      <w:bodyDiv w:val="1"/>
      <w:marLeft w:val="0"/>
      <w:marRight w:val="0"/>
      <w:marTop w:val="0"/>
      <w:marBottom w:val="0"/>
      <w:divBdr>
        <w:top w:val="none" w:sz="0" w:space="0" w:color="auto"/>
        <w:left w:val="none" w:sz="0" w:space="0" w:color="auto"/>
        <w:bottom w:val="none" w:sz="0" w:space="0" w:color="auto"/>
        <w:right w:val="none" w:sz="0" w:space="0" w:color="auto"/>
      </w:divBdr>
      <w:divsChild>
        <w:div w:id="1320495752">
          <w:marLeft w:val="0"/>
          <w:marRight w:val="0"/>
          <w:marTop w:val="0"/>
          <w:marBottom w:val="600"/>
          <w:divBdr>
            <w:top w:val="none" w:sz="0" w:space="0" w:color="auto"/>
            <w:left w:val="none" w:sz="0" w:space="0" w:color="auto"/>
            <w:bottom w:val="none" w:sz="0" w:space="0" w:color="auto"/>
            <w:right w:val="none" w:sz="0" w:space="0" w:color="auto"/>
          </w:divBdr>
        </w:div>
      </w:divsChild>
    </w:div>
    <w:div w:id="669917359">
      <w:bodyDiv w:val="1"/>
      <w:marLeft w:val="0"/>
      <w:marRight w:val="0"/>
      <w:marTop w:val="0"/>
      <w:marBottom w:val="0"/>
      <w:divBdr>
        <w:top w:val="none" w:sz="0" w:space="0" w:color="auto"/>
        <w:left w:val="none" w:sz="0" w:space="0" w:color="auto"/>
        <w:bottom w:val="none" w:sz="0" w:space="0" w:color="auto"/>
        <w:right w:val="none" w:sz="0" w:space="0" w:color="auto"/>
      </w:divBdr>
    </w:div>
    <w:div w:id="715272816">
      <w:bodyDiv w:val="1"/>
      <w:marLeft w:val="0"/>
      <w:marRight w:val="0"/>
      <w:marTop w:val="0"/>
      <w:marBottom w:val="0"/>
      <w:divBdr>
        <w:top w:val="none" w:sz="0" w:space="0" w:color="auto"/>
        <w:left w:val="none" w:sz="0" w:space="0" w:color="auto"/>
        <w:bottom w:val="none" w:sz="0" w:space="0" w:color="auto"/>
        <w:right w:val="none" w:sz="0" w:space="0" w:color="auto"/>
      </w:divBdr>
      <w:divsChild>
        <w:div w:id="982077173">
          <w:marLeft w:val="0"/>
          <w:marRight w:val="0"/>
          <w:marTop w:val="0"/>
          <w:marBottom w:val="0"/>
          <w:divBdr>
            <w:top w:val="none" w:sz="0" w:space="0" w:color="auto"/>
            <w:left w:val="none" w:sz="0" w:space="0" w:color="auto"/>
            <w:bottom w:val="none" w:sz="0" w:space="0" w:color="auto"/>
            <w:right w:val="none" w:sz="0" w:space="0" w:color="auto"/>
          </w:divBdr>
        </w:div>
        <w:div w:id="995887009">
          <w:marLeft w:val="0"/>
          <w:marRight w:val="0"/>
          <w:marTop w:val="0"/>
          <w:marBottom w:val="0"/>
          <w:divBdr>
            <w:top w:val="none" w:sz="0" w:space="0" w:color="auto"/>
            <w:left w:val="none" w:sz="0" w:space="0" w:color="auto"/>
            <w:bottom w:val="none" w:sz="0" w:space="0" w:color="auto"/>
            <w:right w:val="none" w:sz="0" w:space="0" w:color="auto"/>
          </w:divBdr>
        </w:div>
      </w:divsChild>
    </w:div>
    <w:div w:id="1366906094">
      <w:bodyDiv w:val="1"/>
      <w:marLeft w:val="0"/>
      <w:marRight w:val="0"/>
      <w:marTop w:val="0"/>
      <w:marBottom w:val="0"/>
      <w:divBdr>
        <w:top w:val="none" w:sz="0" w:space="0" w:color="auto"/>
        <w:left w:val="none" w:sz="0" w:space="0" w:color="auto"/>
        <w:bottom w:val="none" w:sz="0" w:space="0" w:color="auto"/>
        <w:right w:val="none" w:sz="0" w:space="0" w:color="auto"/>
      </w:divBdr>
    </w:div>
    <w:div w:id="1493062958">
      <w:bodyDiv w:val="1"/>
      <w:marLeft w:val="0"/>
      <w:marRight w:val="0"/>
      <w:marTop w:val="0"/>
      <w:marBottom w:val="0"/>
      <w:divBdr>
        <w:top w:val="none" w:sz="0" w:space="0" w:color="auto"/>
        <w:left w:val="none" w:sz="0" w:space="0" w:color="auto"/>
        <w:bottom w:val="none" w:sz="0" w:space="0" w:color="auto"/>
        <w:right w:val="none" w:sz="0" w:space="0" w:color="auto"/>
      </w:divBdr>
    </w:div>
    <w:div w:id="1539316759">
      <w:bodyDiv w:val="1"/>
      <w:marLeft w:val="0"/>
      <w:marRight w:val="0"/>
      <w:marTop w:val="0"/>
      <w:marBottom w:val="0"/>
      <w:divBdr>
        <w:top w:val="none" w:sz="0" w:space="0" w:color="auto"/>
        <w:left w:val="none" w:sz="0" w:space="0" w:color="auto"/>
        <w:bottom w:val="none" w:sz="0" w:space="0" w:color="auto"/>
        <w:right w:val="none" w:sz="0" w:space="0" w:color="auto"/>
      </w:divBdr>
      <w:divsChild>
        <w:div w:id="1653945000">
          <w:marLeft w:val="0"/>
          <w:marRight w:val="0"/>
          <w:marTop w:val="450"/>
          <w:marBottom w:val="0"/>
          <w:divBdr>
            <w:top w:val="none" w:sz="0" w:space="0" w:color="auto"/>
            <w:left w:val="none" w:sz="0" w:space="0" w:color="auto"/>
            <w:bottom w:val="none" w:sz="0" w:space="0" w:color="auto"/>
            <w:right w:val="none" w:sz="0" w:space="0" w:color="auto"/>
          </w:divBdr>
          <w:divsChild>
            <w:div w:id="1259867750">
              <w:marLeft w:val="0"/>
              <w:marRight w:val="0"/>
              <w:marTop w:val="0"/>
              <w:marBottom w:val="0"/>
              <w:divBdr>
                <w:top w:val="none" w:sz="0" w:space="0" w:color="auto"/>
                <w:left w:val="none" w:sz="0" w:space="0" w:color="auto"/>
                <w:bottom w:val="none" w:sz="0" w:space="0" w:color="auto"/>
                <w:right w:val="none" w:sz="0" w:space="0" w:color="auto"/>
              </w:divBdr>
              <w:divsChild>
                <w:div w:id="81340931">
                  <w:marLeft w:val="0"/>
                  <w:marRight w:val="0"/>
                  <w:marTop w:val="0"/>
                  <w:marBottom w:val="450"/>
                  <w:divBdr>
                    <w:top w:val="none" w:sz="0" w:space="0" w:color="auto"/>
                    <w:left w:val="none" w:sz="0" w:space="0" w:color="auto"/>
                    <w:bottom w:val="none" w:sz="0" w:space="0" w:color="auto"/>
                    <w:right w:val="none" w:sz="0" w:space="0" w:color="auto"/>
                  </w:divBdr>
                </w:div>
                <w:div w:id="1035692230">
                  <w:marLeft w:val="0"/>
                  <w:marRight w:val="0"/>
                  <w:marTop w:val="0"/>
                  <w:marBottom w:val="0"/>
                  <w:divBdr>
                    <w:top w:val="none" w:sz="0" w:space="0" w:color="auto"/>
                    <w:left w:val="none" w:sz="0" w:space="0" w:color="auto"/>
                    <w:bottom w:val="none" w:sz="0" w:space="0" w:color="auto"/>
                    <w:right w:val="none" w:sz="0" w:space="0" w:color="auto"/>
                  </w:divBdr>
                </w:div>
                <w:div w:id="31149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14146">
          <w:marLeft w:val="0"/>
          <w:marRight w:val="0"/>
          <w:marTop w:val="450"/>
          <w:marBottom w:val="0"/>
          <w:divBdr>
            <w:top w:val="none" w:sz="0" w:space="0" w:color="auto"/>
            <w:left w:val="none" w:sz="0" w:space="0" w:color="auto"/>
            <w:bottom w:val="none" w:sz="0" w:space="0" w:color="auto"/>
            <w:right w:val="none" w:sz="0" w:space="0" w:color="auto"/>
          </w:divBdr>
          <w:divsChild>
            <w:div w:id="17126899">
              <w:marLeft w:val="0"/>
              <w:marRight w:val="0"/>
              <w:marTop w:val="0"/>
              <w:marBottom w:val="0"/>
              <w:divBdr>
                <w:top w:val="none" w:sz="0" w:space="0" w:color="auto"/>
                <w:left w:val="none" w:sz="0" w:space="0" w:color="auto"/>
                <w:bottom w:val="none" w:sz="0" w:space="0" w:color="auto"/>
                <w:right w:val="none" w:sz="0" w:space="0" w:color="auto"/>
              </w:divBdr>
              <w:divsChild>
                <w:div w:id="2036542134">
                  <w:marLeft w:val="0"/>
                  <w:marRight w:val="0"/>
                  <w:marTop w:val="0"/>
                  <w:marBottom w:val="0"/>
                  <w:divBdr>
                    <w:top w:val="none" w:sz="0" w:space="0" w:color="auto"/>
                    <w:left w:val="none" w:sz="0" w:space="0" w:color="auto"/>
                    <w:bottom w:val="none" w:sz="0" w:space="0" w:color="auto"/>
                    <w:right w:val="none" w:sz="0" w:space="0" w:color="auto"/>
                  </w:divBdr>
                </w:div>
                <w:div w:id="69357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501202">
          <w:marLeft w:val="0"/>
          <w:marRight w:val="0"/>
          <w:marTop w:val="450"/>
          <w:marBottom w:val="0"/>
          <w:divBdr>
            <w:top w:val="none" w:sz="0" w:space="0" w:color="auto"/>
            <w:left w:val="none" w:sz="0" w:space="0" w:color="auto"/>
            <w:bottom w:val="none" w:sz="0" w:space="0" w:color="auto"/>
            <w:right w:val="none" w:sz="0" w:space="0" w:color="auto"/>
          </w:divBdr>
          <w:divsChild>
            <w:div w:id="1046567217">
              <w:marLeft w:val="0"/>
              <w:marRight w:val="0"/>
              <w:marTop w:val="0"/>
              <w:marBottom w:val="0"/>
              <w:divBdr>
                <w:top w:val="none" w:sz="0" w:space="0" w:color="auto"/>
                <w:left w:val="none" w:sz="0" w:space="0" w:color="auto"/>
                <w:bottom w:val="none" w:sz="0" w:space="0" w:color="auto"/>
                <w:right w:val="none" w:sz="0" w:space="0" w:color="auto"/>
              </w:divBdr>
              <w:divsChild>
                <w:div w:id="22445267">
                  <w:marLeft w:val="0"/>
                  <w:marRight w:val="0"/>
                  <w:marTop w:val="0"/>
                  <w:marBottom w:val="0"/>
                  <w:divBdr>
                    <w:top w:val="none" w:sz="0" w:space="0" w:color="auto"/>
                    <w:left w:val="none" w:sz="0" w:space="0" w:color="auto"/>
                    <w:bottom w:val="none" w:sz="0" w:space="0" w:color="auto"/>
                    <w:right w:val="none" w:sz="0" w:space="0" w:color="auto"/>
                  </w:divBdr>
                </w:div>
                <w:div w:id="142167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728357">
      <w:bodyDiv w:val="1"/>
      <w:marLeft w:val="0"/>
      <w:marRight w:val="0"/>
      <w:marTop w:val="0"/>
      <w:marBottom w:val="0"/>
      <w:divBdr>
        <w:top w:val="none" w:sz="0" w:space="0" w:color="auto"/>
        <w:left w:val="none" w:sz="0" w:space="0" w:color="auto"/>
        <w:bottom w:val="none" w:sz="0" w:space="0" w:color="auto"/>
        <w:right w:val="none" w:sz="0" w:space="0" w:color="auto"/>
      </w:divBdr>
    </w:div>
    <w:div w:id="1854881933">
      <w:bodyDiv w:val="1"/>
      <w:marLeft w:val="0"/>
      <w:marRight w:val="0"/>
      <w:marTop w:val="0"/>
      <w:marBottom w:val="0"/>
      <w:divBdr>
        <w:top w:val="none" w:sz="0" w:space="0" w:color="auto"/>
        <w:left w:val="none" w:sz="0" w:space="0" w:color="auto"/>
        <w:bottom w:val="none" w:sz="0" w:space="0" w:color="auto"/>
        <w:right w:val="none" w:sz="0" w:space="0" w:color="auto"/>
      </w:divBdr>
      <w:divsChild>
        <w:div w:id="554240838">
          <w:marLeft w:val="0"/>
          <w:marRight w:val="0"/>
          <w:marTop w:val="0"/>
          <w:marBottom w:val="600"/>
          <w:divBdr>
            <w:top w:val="none" w:sz="0" w:space="0" w:color="auto"/>
            <w:left w:val="none" w:sz="0" w:space="0" w:color="auto"/>
            <w:bottom w:val="none" w:sz="0" w:space="0" w:color="auto"/>
            <w:right w:val="none" w:sz="0" w:space="0" w:color="auto"/>
          </w:divBdr>
        </w:div>
        <w:div w:id="2079401101">
          <w:marLeft w:val="0"/>
          <w:marRight w:val="0"/>
          <w:marTop w:val="0"/>
          <w:marBottom w:val="600"/>
          <w:divBdr>
            <w:top w:val="none" w:sz="0" w:space="0" w:color="auto"/>
            <w:left w:val="none" w:sz="0" w:space="0" w:color="auto"/>
            <w:bottom w:val="none" w:sz="0" w:space="0" w:color="auto"/>
            <w:right w:val="none" w:sz="0" w:space="0" w:color="auto"/>
          </w:divBdr>
        </w:div>
        <w:div w:id="1354915719">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yperlink" Target="http://www.usoud.cz/fileadmin/user_upload/Tiskova_mluvci/Publikovane_nalezy/I._US_3930_14_pro_web.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stylesWithEffects" Target="stylesWithEffect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3">
      <a:dk1>
        <a:srgbClr val="26967E"/>
      </a:dk1>
      <a:lt1>
        <a:srgbClr val="FFFFFF"/>
      </a:lt1>
      <a:dk2>
        <a:srgbClr val="00B5AC"/>
      </a:dk2>
      <a:lt2>
        <a:srgbClr val="EEECE1"/>
      </a:lt2>
      <a:accent1>
        <a:srgbClr val="E7C452"/>
      </a:accent1>
      <a:accent2>
        <a:srgbClr val="EFD789"/>
      </a:accent2>
      <a:accent3>
        <a:srgbClr val="D5A91D"/>
      </a:accent3>
      <a:accent4>
        <a:srgbClr val="E7C452"/>
      </a:accent4>
      <a:accent5>
        <a:srgbClr val="EFD789"/>
      </a:accent5>
      <a:accent6>
        <a:srgbClr val="D5A91D"/>
      </a:accent6>
      <a:hlink>
        <a:srgbClr val="145043"/>
      </a:hlink>
      <a:folHlink>
        <a:srgbClr val="00EEE3"/>
      </a:folHlink>
    </a:clrScheme>
    <a:fontScheme name="Open">
      <a:majorFont>
        <a:latin typeface="Proxima Nova Bl"/>
        <a:ea typeface=""/>
        <a:cs typeface=""/>
      </a:majorFont>
      <a:minorFont>
        <a:latin typeface="Cambr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1349</Words>
  <Characters>7964</Characters>
  <Application>Microsoft Office Word</Application>
  <DocSecurity>0</DocSecurity>
  <Lines>66</Lines>
  <Paragraphs>18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Honza</dc:creator>
  <cp:lastModifiedBy>Adam Rut</cp:lastModifiedBy>
  <cp:revision>2</cp:revision>
  <dcterms:created xsi:type="dcterms:W3CDTF">2015-07-20T13:49:00Z</dcterms:created>
  <dcterms:modified xsi:type="dcterms:W3CDTF">2015-07-20T13:49:00Z</dcterms:modified>
</cp:coreProperties>
</file>